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2"/>
        <w:keepNext/>
        <w:keepLines/>
        <w:spacing w:after="0" w:line="240" w:lineRule="auto"/>
        <w:rPr>
          <w:bCs/>
          <w:sz w:val="32"/>
          <w:szCs w:val="32"/>
        </w:rPr>
      </w:pPr>
      <w:bookmarkStart w:id="0" w:name="bookmark0"/>
      <w:r>
        <w:rPr>
          <w:rStyle w:val="42"/>
          <w:b/>
          <w:bCs/>
          <w:sz w:val="32"/>
          <w:szCs w:val="32"/>
        </w:rPr>
        <w:t>华安财产保险股份有限公司</w:t>
      </w:r>
      <w:bookmarkEnd w:id="0"/>
    </w:p>
    <w:p>
      <w:pPr>
        <w:pStyle w:val="22"/>
        <w:keepNext/>
        <w:keepLines/>
        <w:spacing w:after="0" w:line="240" w:lineRule="auto"/>
        <w:ind w:left="20"/>
        <w:rPr>
          <w:rStyle w:val="42"/>
          <w:rFonts w:hint="default"/>
          <w:b/>
          <w:bCs/>
          <w:sz w:val="32"/>
          <w:szCs w:val="32"/>
          <w:lang w:val="en-US"/>
        </w:rPr>
      </w:pPr>
      <w:bookmarkStart w:id="1" w:name="bookmark1"/>
      <w:r>
        <w:rPr>
          <w:rStyle w:val="42"/>
          <w:b/>
          <w:bCs/>
          <w:sz w:val="32"/>
          <w:szCs w:val="32"/>
        </w:rPr>
        <w:t>移动设备显示屏意外损坏保险（</w:t>
      </w:r>
      <w:r>
        <w:rPr>
          <w:rStyle w:val="42"/>
          <w:b/>
          <w:bCs/>
          <w:sz w:val="32"/>
          <w:szCs w:val="32"/>
          <w:lang w:val="en-US"/>
        </w:rPr>
        <w:t>2020A款)</w:t>
      </w:r>
      <w:r>
        <w:rPr>
          <w:rStyle w:val="42"/>
          <w:b/>
          <w:bCs/>
          <w:sz w:val="32"/>
          <w:szCs w:val="32"/>
        </w:rPr>
        <w:t>条款</w:t>
      </w:r>
      <w:bookmarkEnd w:id="1"/>
      <w:r>
        <w:rPr>
          <w:rStyle w:val="42"/>
          <w:b/>
          <w:bCs/>
          <w:sz w:val="32"/>
          <w:szCs w:val="32"/>
          <w:lang w:val="en-US"/>
        </w:rPr>
        <w:t xml:space="preserve"> </w:t>
      </w:r>
    </w:p>
    <w:p>
      <w:pPr>
        <w:pStyle w:val="22"/>
        <w:keepNext/>
        <w:keepLines/>
        <w:spacing w:after="0" w:line="240" w:lineRule="auto"/>
        <w:ind w:left="20"/>
        <w:rPr>
          <w:rStyle w:val="42"/>
          <w:b/>
          <w:bCs/>
          <w:sz w:val="21"/>
          <w:szCs w:val="21"/>
          <w:lang w:val="en-US"/>
        </w:rPr>
      </w:pPr>
    </w:p>
    <w:p>
      <w:pPr>
        <w:pStyle w:val="22"/>
        <w:keepNext/>
        <w:keepLines/>
        <w:spacing w:after="0" w:line="240" w:lineRule="auto"/>
        <w:ind w:left="20"/>
        <w:rPr>
          <w:rStyle w:val="42"/>
          <w:sz w:val="21"/>
          <w:szCs w:val="21"/>
        </w:rPr>
      </w:pPr>
      <w:bookmarkStart w:id="17" w:name="_GoBack"/>
      <w:bookmarkEnd w:id="17"/>
      <w:r>
        <w:rPr>
          <w:rStyle w:val="42"/>
          <w:b/>
          <w:bCs/>
          <w:sz w:val="21"/>
          <w:szCs w:val="21"/>
          <w:lang w:val="en-US"/>
        </w:rPr>
        <w:t>注册号：</w:t>
      </w:r>
      <w:r>
        <w:rPr>
          <w:rStyle w:val="42"/>
          <w:rFonts w:hint="default"/>
          <w:b/>
          <w:bCs/>
          <w:sz w:val="21"/>
          <w:szCs w:val="21"/>
          <w:lang w:val="en-US"/>
        </w:rPr>
        <w:t>C00002431912020093008032</w:t>
      </w:r>
    </w:p>
    <w:p>
      <w:pPr>
        <w:pStyle w:val="22"/>
        <w:keepNext/>
        <w:keepLines/>
        <w:spacing w:after="0" w:line="240" w:lineRule="auto"/>
        <w:rPr>
          <w:rStyle w:val="42"/>
        </w:rPr>
      </w:pPr>
    </w:p>
    <w:p>
      <w:pPr>
        <w:pStyle w:val="17"/>
        <w:keepNext/>
        <w:keepLines/>
        <w:spacing w:before="0" w:line="360" w:lineRule="auto"/>
        <w:ind w:left="20"/>
        <w:rPr>
          <w:bCs/>
        </w:rPr>
      </w:pPr>
      <w:bookmarkStart w:id="2" w:name="bookmark2"/>
      <w:r>
        <w:rPr>
          <w:rStyle w:val="25"/>
          <w:b/>
          <w:bCs/>
        </w:rPr>
        <w:t>总则</w:t>
      </w:r>
      <w:bookmarkEnd w:id="2"/>
    </w:p>
    <w:p>
      <w:pPr>
        <w:pStyle w:val="19"/>
        <w:spacing w:line="360" w:lineRule="auto"/>
        <w:ind w:left="20" w:right="20" w:firstLine="460"/>
        <w:jc w:val="both"/>
        <w:rPr>
          <w:rStyle w:val="44"/>
        </w:rPr>
      </w:pPr>
      <w:r>
        <w:rPr>
          <w:rStyle w:val="33"/>
        </w:rPr>
        <w:t>第一条</w:t>
      </w:r>
      <w:r>
        <w:rPr>
          <w:rStyle w:val="33"/>
          <w:lang w:val="en-US"/>
        </w:rPr>
        <w:t xml:space="preserve"> </w:t>
      </w:r>
      <w:r>
        <w:rPr>
          <w:rStyle w:val="44"/>
        </w:rPr>
        <w:t>本保险合同由保险条款、投保单、保险单或其他保险凭证以及批单组成。凡涉及本保险合同的约定，均应采用书面形式（包括电子形式）。</w:t>
      </w:r>
    </w:p>
    <w:p>
      <w:pPr>
        <w:pStyle w:val="21"/>
        <w:ind w:firstLine="540"/>
        <w:jc w:val="both"/>
        <w:rPr>
          <w:rStyle w:val="44"/>
          <w:b w:val="0"/>
          <w:bCs/>
        </w:rPr>
      </w:pPr>
      <w:r>
        <w:rPr>
          <w:rStyle w:val="33"/>
          <w:b/>
          <w:bCs/>
        </w:rPr>
        <w:t>第二条</w:t>
      </w:r>
      <w:r>
        <w:rPr>
          <w:rStyle w:val="33"/>
          <w:lang w:val="en-US"/>
        </w:rPr>
        <w:t xml:space="preserve"> </w:t>
      </w:r>
      <w:r>
        <w:rPr>
          <w:rStyle w:val="44"/>
          <w:b w:val="0"/>
        </w:rPr>
        <w:t>本保险合同的保险标的为：经国家法定产品检验认证机构检测认证的，经政府有关部门批准生产和销售的，并在中华人民共和国境内（不包括香港特别行政区、澳门特别行政区及台湾地区，下同）销售的以下移动设备的显示屏，且需在本保险合同中列明（以下为可选保险标的，投保人可以选择投保一项或多项， 由</w:t>
      </w:r>
      <w:r>
        <w:rPr>
          <w:rStyle w:val="44"/>
          <w:bCs/>
        </w:rPr>
        <w:t>保险人</w:t>
      </w:r>
      <w:r>
        <w:rPr>
          <w:rStyle w:val="44"/>
          <w:b w:val="0"/>
        </w:rPr>
        <w:t>和</w:t>
      </w:r>
      <w:r>
        <w:rPr>
          <w:rStyle w:val="44"/>
          <w:b w:val="0"/>
          <w:bCs/>
        </w:rPr>
        <w:t>投保人在保险合同上约明）：</w:t>
      </w:r>
    </w:p>
    <w:p>
      <w:pPr>
        <w:pStyle w:val="21"/>
        <w:numPr>
          <w:ilvl w:val="0"/>
          <w:numId w:val="1"/>
        </w:numPr>
        <w:ind w:left="20" w:firstLine="540"/>
        <w:jc w:val="both"/>
        <w:rPr>
          <w:rStyle w:val="28"/>
          <w:bCs/>
        </w:rPr>
      </w:pPr>
      <w:r>
        <w:rPr>
          <w:rStyle w:val="28"/>
          <w:bCs/>
        </w:rPr>
        <w:t>移动电话；</w:t>
      </w:r>
    </w:p>
    <w:p>
      <w:pPr>
        <w:pStyle w:val="21"/>
        <w:numPr>
          <w:ilvl w:val="0"/>
          <w:numId w:val="2"/>
        </w:numPr>
        <w:ind w:left="20" w:firstLine="540"/>
        <w:jc w:val="both"/>
        <w:rPr>
          <w:rStyle w:val="28"/>
          <w:bCs/>
        </w:rPr>
      </w:pPr>
      <w:r>
        <w:rPr>
          <w:rStyle w:val="28"/>
          <w:bCs/>
        </w:rPr>
        <w:t>平板电脑；</w:t>
      </w:r>
    </w:p>
    <w:p>
      <w:pPr>
        <w:pStyle w:val="21"/>
        <w:ind w:left="20" w:firstLine="540"/>
        <w:jc w:val="both"/>
        <w:rPr>
          <w:rStyle w:val="28"/>
          <w:bCs/>
        </w:rPr>
      </w:pPr>
      <w:r>
        <w:rPr>
          <w:rStyle w:val="28"/>
          <w:bCs/>
        </w:rPr>
        <w:t>(三）笔记本电脑。</w:t>
      </w:r>
    </w:p>
    <w:p>
      <w:pPr>
        <w:pStyle w:val="19"/>
        <w:spacing w:after="0" w:line="360" w:lineRule="auto"/>
        <w:ind w:left="620"/>
        <w:jc w:val="left"/>
        <w:rPr>
          <w:rStyle w:val="44"/>
        </w:rPr>
      </w:pPr>
    </w:p>
    <w:p>
      <w:pPr>
        <w:pStyle w:val="19"/>
        <w:spacing w:line="360" w:lineRule="auto"/>
        <w:ind w:left="20" w:right="20" w:firstLine="460"/>
        <w:jc w:val="both"/>
      </w:pPr>
      <w:r>
        <w:rPr>
          <w:rStyle w:val="33"/>
        </w:rPr>
        <w:t>第三条</w:t>
      </w:r>
      <w:r>
        <w:rPr>
          <w:rStyle w:val="33"/>
          <w:lang w:val="en-US"/>
        </w:rPr>
        <w:t xml:space="preserve"> </w:t>
      </w:r>
      <w:r>
        <w:rPr>
          <w:rStyle w:val="44"/>
        </w:rPr>
        <w:t>本保险合同的投保人是指缴纳保险费的自然人、</w:t>
      </w:r>
      <w:r>
        <w:rPr>
          <w:rStyle w:val="44"/>
          <w:lang w:val="en-US"/>
        </w:rPr>
        <w:t>法人、其他组织或</w:t>
      </w:r>
      <w:r>
        <w:rPr>
          <w:rStyle w:val="44"/>
        </w:rPr>
        <w:t>团体。对保险标的具有保险利益的消费者、所有者或使用者可作为本保险合同的被保险人。</w:t>
      </w:r>
    </w:p>
    <w:p>
      <w:pPr>
        <w:pStyle w:val="17"/>
        <w:keepNext/>
        <w:keepLines/>
        <w:spacing w:before="0" w:line="360" w:lineRule="auto"/>
        <w:ind w:left="20"/>
        <w:rPr>
          <w:bCs/>
        </w:rPr>
      </w:pPr>
      <w:bookmarkStart w:id="3" w:name="bookmark4"/>
      <w:r>
        <w:rPr>
          <w:rStyle w:val="25"/>
          <w:b/>
          <w:bCs/>
        </w:rPr>
        <w:t>保险责任</w:t>
      </w:r>
      <w:bookmarkEnd w:id="3"/>
    </w:p>
    <w:p>
      <w:pPr>
        <w:pStyle w:val="19"/>
        <w:spacing w:after="625" w:line="360" w:lineRule="auto"/>
        <w:ind w:left="20" w:right="20" w:firstLine="460"/>
        <w:jc w:val="left"/>
        <w:rPr>
          <w:b/>
          <w:bCs/>
        </w:rPr>
      </w:pPr>
      <w:r>
        <w:rPr>
          <w:rStyle w:val="33"/>
        </w:rPr>
        <w:t>第四条</w:t>
      </w:r>
      <w:r>
        <w:rPr>
          <w:rStyle w:val="33"/>
          <w:lang w:val="en-US"/>
        </w:rPr>
        <w:t xml:space="preserve"> </w:t>
      </w:r>
      <w:r>
        <w:rPr>
          <w:rStyle w:val="44"/>
        </w:rPr>
        <w:t>在保险期间内</w:t>
      </w:r>
      <w:r>
        <w:t>，</w:t>
      </w:r>
      <w:r>
        <w:rPr>
          <w:rStyle w:val="44"/>
        </w:rPr>
        <w:t>保险标的在正常使用过程中由于意外坠落、挤压、碰撞而导致的</w:t>
      </w:r>
      <w:r>
        <w:rPr>
          <w:rStyle w:val="44"/>
          <w:b/>
          <w:bCs/>
        </w:rPr>
        <w:t>显示屏机械损坏</w:t>
      </w:r>
      <w:r>
        <w:rPr>
          <w:rStyle w:val="44"/>
        </w:rPr>
        <w:t>，需要对显示屏进行维修，或使用</w:t>
      </w:r>
      <w:r>
        <w:rPr>
          <w:rStyle w:val="44"/>
          <w:b/>
          <w:bCs/>
        </w:rPr>
        <w:t>相同或类似规格的同等级显示屏</w:t>
      </w:r>
      <w:r>
        <w:rPr>
          <w:rStyle w:val="44"/>
        </w:rPr>
        <w:t>替换，</w:t>
      </w:r>
      <w:r>
        <w:rPr>
          <w:rStyle w:val="44"/>
          <w:b/>
          <w:bCs/>
        </w:rPr>
        <w:t>对于被保险人支出的显示屏维修费用或替换费用，保险人扣除约定的免赔额后，</w:t>
      </w:r>
      <w:r>
        <w:rPr>
          <w:rStyle w:val="44"/>
          <w:b/>
          <w:bCs/>
          <w:lang w:val="en-US"/>
        </w:rPr>
        <w:t>在</w:t>
      </w:r>
      <w:r>
        <w:rPr>
          <w:rStyle w:val="44"/>
          <w:b/>
          <w:bCs/>
        </w:rPr>
        <w:t>本保险合同约定的保险金额内负责赔偿。</w:t>
      </w:r>
    </w:p>
    <w:p>
      <w:pPr>
        <w:pStyle w:val="17"/>
        <w:keepNext/>
        <w:keepLines/>
        <w:spacing w:before="0" w:after="251" w:line="360" w:lineRule="auto"/>
        <w:ind w:left="20"/>
        <w:rPr>
          <w:bCs/>
        </w:rPr>
      </w:pPr>
      <w:bookmarkStart w:id="4" w:name="bookmark5"/>
      <w:r>
        <w:rPr>
          <w:rStyle w:val="25"/>
          <w:b/>
          <w:bCs/>
        </w:rPr>
        <w:t>责任免除</w:t>
      </w:r>
      <w:bookmarkEnd w:id="4"/>
    </w:p>
    <w:p>
      <w:pPr>
        <w:pStyle w:val="17"/>
        <w:keepNext/>
        <w:keepLines/>
        <w:spacing w:before="0" w:line="360" w:lineRule="auto"/>
        <w:ind w:left="20" w:firstLine="460"/>
        <w:jc w:val="left"/>
        <w:rPr>
          <w:bCs/>
        </w:rPr>
      </w:pPr>
      <w:bookmarkStart w:id="5" w:name="bookmark6"/>
      <w:r>
        <w:rPr>
          <w:rStyle w:val="25"/>
          <w:b/>
          <w:bCs/>
        </w:rPr>
        <w:t>第五条</w:t>
      </w:r>
      <w:r>
        <w:rPr>
          <w:rStyle w:val="25"/>
          <w:b/>
          <w:bCs/>
          <w:lang w:val="en-US"/>
        </w:rPr>
        <w:t xml:space="preserve"> </w:t>
      </w:r>
      <w:r>
        <w:rPr>
          <w:rStyle w:val="25"/>
          <w:b/>
          <w:bCs/>
        </w:rPr>
        <w:t>保险人对于保险标的直接或间接因下列事项所致损失，不负赔偿责</w:t>
      </w:r>
      <w:bookmarkEnd w:id="5"/>
      <w:r>
        <w:rPr>
          <w:rStyle w:val="28"/>
          <w:b/>
          <w:bCs/>
        </w:rPr>
        <w:t>任</w:t>
      </w:r>
      <w:r>
        <w:rPr>
          <w:rStyle w:val="28"/>
          <w:b/>
          <w:bCs/>
          <w:lang w:val="en-US"/>
        </w:rPr>
        <w:t>:</w:t>
      </w:r>
    </w:p>
    <w:p>
      <w:pPr>
        <w:pStyle w:val="21"/>
        <w:spacing w:line="360" w:lineRule="auto"/>
        <w:ind w:left="20" w:firstLine="540"/>
        <w:rPr>
          <w:bCs/>
        </w:rPr>
      </w:pPr>
      <w:r>
        <w:rPr>
          <w:rStyle w:val="28"/>
          <w:b/>
          <w:bCs/>
        </w:rPr>
        <w:t>(一）被保险人的故意或欺诈行为；</w:t>
      </w:r>
    </w:p>
    <w:p>
      <w:pPr>
        <w:pStyle w:val="21"/>
        <w:spacing w:line="360" w:lineRule="auto"/>
        <w:ind w:left="20" w:firstLine="540"/>
        <w:rPr>
          <w:bCs/>
        </w:rPr>
      </w:pPr>
      <w:r>
        <w:rPr>
          <w:rStyle w:val="28"/>
          <w:b/>
          <w:bCs/>
        </w:rPr>
        <w:t>(二）保险标的进液、磨损、腐蚀、氧化、锈垢、变质及自然耗损；</w:t>
      </w:r>
    </w:p>
    <w:p>
      <w:pPr>
        <w:pStyle w:val="21"/>
        <w:spacing w:line="360" w:lineRule="auto"/>
        <w:ind w:left="20" w:firstLine="540"/>
        <w:rPr>
          <w:rStyle w:val="28"/>
          <w:b/>
          <w:bCs/>
        </w:rPr>
      </w:pPr>
      <w:r>
        <w:rPr>
          <w:rStyle w:val="28"/>
          <w:b/>
          <w:bCs/>
        </w:rPr>
        <w:t>(三）保险标的因质量问题所引起的花屏、黑屏；</w:t>
      </w:r>
    </w:p>
    <w:p>
      <w:pPr>
        <w:pStyle w:val="21"/>
        <w:spacing w:line="360" w:lineRule="auto"/>
        <w:ind w:left="20" w:firstLine="540"/>
        <w:rPr>
          <w:rStyle w:val="28"/>
        </w:rPr>
      </w:pPr>
      <w:r>
        <w:rPr>
          <w:rStyle w:val="28"/>
          <w:b/>
          <w:bCs/>
        </w:rPr>
        <w:t>(四）因保险标的损失所造成的任何间接损失；</w:t>
      </w:r>
    </w:p>
    <w:p>
      <w:pPr>
        <w:pStyle w:val="21"/>
        <w:spacing w:line="360" w:lineRule="auto"/>
        <w:ind w:left="20" w:firstLine="540"/>
        <w:rPr>
          <w:bCs/>
        </w:rPr>
      </w:pPr>
      <w:r>
        <w:rPr>
          <w:rStyle w:val="28"/>
          <w:b/>
          <w:bCs/>
        </w:rPr>
        <w:t>(五）保险标的外观上的瑕疵，如脱漆、刮痕、褪色等；</w:t>
      </w:r>
      <w:r>
        <w:rPr>
          <w:bCs/>
        </w:rPr>
        <w:t>外观磨损、划痕以及其他不影响正常使用的损失；</w:t>
      </w:r>
    </w:p>
    <w:p>
      <w:pPr>
        <w:pStyle w:val="21"/>
        <w:spacing w:line="360" w:lineRule="auto"/>
        <w:ind w:left="20" w:right="20" w:firstLine="540"/>
        <w:rPr>
          <w:rStyle w:val="28"/>
          <w:b/>
          <w:bCs/>
        </w:rPr>
      </w:pPr>
      <w:r>
        <w:rPr>
          <w:rStyle w:val="28"/>
          <w:b/>
          <w:bCs/>
        </w:rPr>
        <w:t>(六）在非保险人认可的维修</w:t>
      </w:r>
      <w:r>
        <w:rPr>
          <w:rStyle w:val="28"/>
          <w:b/>
          <w:bCs/>
          <w:color w:val="auto"/>
        </w:rPr>
        <w:t>机构进行</w:t>
      </w:r>
      <w:r>
        <w:rPr>
          <w:rStyle w:val="28"/>
          <w:b/>
          <w:bCs/>
        </w:rPr>
        <w:t>维修过程中造成的保险标的故障或损坏</w:t>
      </w:r>
      <w:r>
        <w:rPr>
          <w:rStyle w:val="28"/>
          <w:b/>
          <w:bCs/>
          <w:lang w:val="en-US"/>
        </w:rPr>
        <w:t>；</w:t>
      </w:r>
    </w:p>
    <w:p>
      <w:pPr>
        <w:pStyle w:val="21"/>
        <w:spacing w:line="360" w:lineRule="auto"/>
        <w:ind w:right="20"/>
        <w:rPr>
          <w:bCs/>
        </w:rPr>
      </w:pPr>
      <w:r>
        <w:rPr>
          <w:bCs/>
          <w:lang w:val="en-US"/>
        </w:rPr>
        <w:t xml:space="preserve">     (</w:t>
      </w:r>
      <w:r>
        <w:rPr>
          <w:bCs/>
        </w:rPr>
        <w:t>七）</w:t>
      </w:r>
      <w:r>
        <w:rPr>
          <w:bCs/>
          <w:lang w:val="en-US"/>
        </w:rPr>
        <w:t>保险标的</w:t>
      </w:r>
      <w:r>
        <w:rPr>
          <w:bCs/>
        </w:rPr>
        <w:t>固有缺陷。</w:t>
      </w:r>
    </w:p>
    <w:p>
      <w:pPr>
        <w:pStyle w:val="21"/>
        <w:spacing w:line="360" w:lineRule="auto"/>
        <w:ind w:left="20" w:firstLine="540"/>
        <w:rPr>
          <w:bCs/>
        </w:rPr>
      </w:pPr>
      <w:r>
        <w:rPr>
          <w:rStyle w:val="28"/>
          <w:b/>
          <w:bCs/>
        </w:rPr>
        <w:t>第六条</w:t>
      </w:r>
      <w:r>
        <w:rPr>
          <w:rStyle w:val="28"/>
          <w:b/>
          <w:bCs/>
          <w:lang w:val="en-US"/>
        </w:rPr>
        <w:t xml:space="preserve"> </w:t>
      </w:r>
      <w:r>
        <w:rPr>
          <w:rStyle w:val="28"/>
          <w:b/>
          <w:bCs/>
        </w:rPr>
        <w:t>以下损失、费用或责任，保险人不负责赔偿：</w:t>
      </w:r>
    </w:p>
    <w:p>
      <w:pPr>
        <w:pStyle w:val="21"/>
        <w:spacing w:line="360" w:lineRule="auto"/>
        <w:ind w:left="20" w:firstLine="540"/>
        <w:rPr>
          <w:bCs/>
        </w:rPr>
      </w:pPr>
      <w:r>
        <w:rPr>
          <w:rStyle w:val="28"/>
          <w:b/>
          <w:bCs/>
        </w:rPr>
        <w:t>(一)</w:t>
      </w:r>
      <w:r>
        <w:rPr>
          <w:rStyle w:val="28"/>
          <w:b/>
          <w:bCs/>
          <w:lang w:val="en-US"/>
        </w:rPr>
        <w:t xml:space="preserve"> </w:t>
      </w:r>
      <w:r>
        <w:rPr>
          <w:rStyle w:val="28"/>
          <w:b/>
          <w:bCs/>
        </w:rPr>
        <w:t>由非保险人认可的维修</w:t>
      </w:r>
      <w:r>
        <w:rPr>
          <w:rStyle w:val="28"/>
          <w:b/>
          <w:bCs/>
          <w:color w:val="auto"/>
        </w:rPr>
        <w:t>机构维</w:t>
      </w:r>
      <w:r>
        <w:rPr>
          <w:rStyle w:val="28"/>
          <w:b/>
          <w:bCs/>
        </w:rPr>
        <w:t>修保险标的而导致的费用；</w:t>
      </w:r>
    </w:p>
    <w:p>
      <w:pPr>
        <w:pStyle w:val="21"/>
        <w:spacing w:line="360" w:lineRule="auto"/>
        <w:ind w:left="20" w:firstLine="540"/>
        <w:rPr>
          <w:bCs/>
        </w:rPr>
      </w:pPr>
      <w:r>
        <w:rPr>
          <w:rStyle w:val="28"/>
          <w:b/>
          <w:bCs/>
        </w:rPr>
        <w:t>(二）未经政府有关部门批准生产或销售的产品发生的显示屏机械损坏；</w:t>
      </w:r>
    </w:p>
    <w:p>
      <w:pPr>
        <w:pStyle w:val="21"/>
        <w:spacing w:line="360" w:lineRule="auto"/>
        <w:ind w:left="20" w:firstLine="540"/>
        <w:rPr>
          <w:bCs/>
        </w:rPr>
      </w:pPr>
      <w:r>
        <w:rPr>
          <w:rStyle w:val="28"/>
          <w:b/>
          <w:bCs/>
        </w:rPr>
        <w:t>(三）保险标的被盗窃、抢劫、抢夺，以及因被盗窃、抢劫、抢夺受到的损坏；</w:t>
      </w:r>
    </w:p>
    <w:p>
      <w:pPr>
        <w:pStyle w:val="21"/>
        <w:spacing w:line="360" w:lineRule="auto"/>
        <w:ind w:left="20" w:firstLine="540"/>
        <w:rPr>
          <w:bCs/>
        </w:rPr>
      </w:pPr>
      <w:r>
        <w:rPr>
          <w:rStyle w:val="28"/>
          <w:b/>
          <w:bCs/>
        </w:rPr>
        <w:t>(四）除另有约定外，寄到维修点或从维修点寄回的物流费用；</w:t>
      </w:r>
    </w:p>
    <w:p>
      <w:pPr>
        <w:pStyle w:val="21"/>
        <w:spacing w:line="360" w:lineRule="auto"/>
        <w:ind w:left="20" w:firstLine="540"/>
        <w:rPr>
          <w:bCs/>
        </w:rPr>
      </w:pPr>
      <w:r>
        <w:rPr>
          <w:rStyle w:val="28"/>
          <w:b/>
          <w:bCs/>
        </w:rPr>
        <w:t>(五）不属于本保险合同列明的保险标的的损失；</w:t>
      </w:r>
    </w:p>
    <w:p>
      <w:pPr>
        <w:pStyle w:val="21"/>
        <w:spacing w:line="360" w:lineRule="auto"/>
        <w:ind w:left="20" w:firstLine="540"/>
        <w:rPr>
          <w:bCs/>
        </w:rPr>
      </w:pPr>
      <w:r>
        <w:rPr>
          <w:rStyle w:val="28"/>
          <w:b/>
          <w:bCs/>
        </w:rPr>
        <w:t>(六）本保险合同中载明的免赔额。</w:t>
      </w:r>
      <w:r>
        <w:rPr>
          <w:bCs/>
        </w:rPr>
        <w:br w:type="textWrapping"/>
      </w:r>
      <w:r>
        <w:rPr>
          <w:rStyle w:val="28"/>
          <w:b/>
          <w:bCs/>
        </w:rPr>
        <w:t xml:space="preserve"> </w:t>
      </w:r>
      <w:r>
        <w:rPr>
          <w:rStyle w:val="28"/>
          <w:b/>
          <w:bCs/>
          <w:lang w:val="en-US"/>
        </w:rPr>
        <w:t xml:space="preserve">   </w:t>
      </w:r>
      <w:r>
        <w:rPr>
          <w:rStyle w:val="28"/>
          <w:b/>
          <w:bCs/>
        </w:rPr>
        <w:t>第七条</w:t>
      </w:r>
      <w:r>
        <w:rPr>
          <w:rStyle w:val="28"/>
          <w:b/>
          <w:bCs/>
          <w:lang w:val="en-US"/>
        </w:rPr>
        <w:t xml:space="preserve"> </w:t>
      </w:r>
      <w:r>
        <w:rPr>
          <w:rStyle w:val="28"/>
          <w:b/>
          <w:bCs/>
        </w:rPr>
        <w:t>以下情形下，保险标的发生的损失或责任，保险人不负责赔偿。</w:t>
      </w:r>
    </w:p>
    <w:p>
      <w:pPr>
        <w:pStyle w:val="21"/>
        <w:spacing w:line="360" w:lineRule="auto"/>
        <w:ind w:left="20" w:firstLine="540"/>
        <w:rPr>
          <w:bCs/>
        </w:rPr>
      </w:pPr>
      <w:r>
        <w:rPr>
          <w:rStyle w:val="28"/>
          <w:b/>
          <w:bCs/>
        </w:rPr>
        <w:t>(一)</w:t>
      </w:r>
      <w:r>
        <w:rPr>
          <w:rStyle w:val="28"/>
          <w:b/>
          <w:bCs/>
          <w:lang w:val="en-US"/>
        </w:rPr>
        <w:t xml:space="preserve"> </w:t>
      </w:r>
      <w:r>
        <w:rPr>
          <w:rStyle w:val="28"/>
          <w:b/>
          <w:bCs/>
        </w:rPr>
        <w:t>保险标的的</w:t>
      </w:r>
      <w:r>
        <w:rPr>
          <w:rStyle w:val="30"/>
          <w:rFonts w:eastAsia="宋体"/>
          <w:b/>
          <w:bCs/>
          <w:lang w:eastAsia="zh-CN"/>
        </w:rPr>
        <w:t>IMEI</w:t>
      </w:r>
      <w:r>
        <w:rPr>
          <w:rStyle w:val="28"/>
          <w:b/>
          <w:bCs/>
        </w:rPr>
        <w:t>码或序列号无法识别；</w:t>
      </w:r>
    </w:p>
    <w:p>
      <w:pPr>
        <w:pStyle w:val="21"/>
        <w:spacing w:line="360" w:lineRule="auto"/>
        <w:ind w:left="20" w:right="20" w:firstLine="540"/>
        <w:rPr>
          <w:bCs/>
        </w:rPr>
      </w:pPr>
      <w:r>
        <w:rPr>
          <w:rStyle w:val="28"/>
          <w:b/>
          <w:bCs/>
        </w:rPr>
        <w:t>(二）保险标的因进液或环境因素（包括灰尘、受热、内部潮湿、冷凝、雷击等原因）造成的显示故障；</w:t>
      </w:r>
    </w:p>
    <w:p>
      <w:pPr>
        <w:pStyle w:val="21"/>
        <w:spacing w:line="360" w:lineRule="auto"/>
        <w:ind w:left="20" w:firstLine="540"/>
        <w:rPr>
          <w:rStyle w:val="28"/>
          <w:b/>
          <w:bCs/>
        </w:rPr>
      </w:pPr>
      <w:r>
        <w:rPr>
          <w:rStyle w:val="28"/>
          <w:b/>
          <w:bCs/>
        </w:rPr>
        <w:t>(三）未经生产商、销售商或保险人授权的修理人员拆装维修；</w:t>
      </w:r>
    </w:p>
    <w:p>
      <w:pPr>
        <w:pStyle w:val="21"/>
        <w:spacing w:line="360" w:lineRule="auto"/>
        <w:ind w:left="20" w:firstLine="540"/>
        <w:rPr>
          <w:rStyle w:val="28"/>
          <w:b/>
          <w:bCs/>
        </w:rPr>
      </w:pPr>
      <w:r>
        <w:rPr>
          <w:bCs/>
          <w:lang w:val="en-US"/>
        </w:rPr>
        <w:t>(</w:t>
      </w:r>
      <w:r>
        <w:rPr>
          <w:bCs/>
        </w:rPr>
        <w:t>四）申请维修服务时，所申请手机的产品型号和</w:t>
      </w:r>
      <w:r>
        <w:rPr>
          <w:rStyle w:val="45"/>
          <w:rFonts w:eastAsia="宋体"/>
          <w:lang w:val="en-US"/>
        </w:rPr>
        <w:t>IMEI</w:t>
      </w:r>
      <w:r>
        <w:rPr>
          <w:rStyle w:val="44"/>
        </w:rPr>
        <w:t>码或序列号</w:t>
      </w:r>
      <w:r>
        <w:rPr>
          <w:bCs/>
        </w:rPr>
        <w:t>与本合同所载信息不一致。</w:t>
      </w:r>
    </w:p>
    <w:p>
      <w:pPr>
        <w:pStyle w:val="21"/>
        <w:spacing w:line="360" w:lineRule="auto"/>
        <w:jc w:val="center"/>
        <w:rPr>
          <w:rStyle w:val="44"/>
          <w:b w:val="0"/>
        </w:rPr>
      </w:pPr>
      <w:r>
        <w:rPr>
          <w:rStyle w:val="28"/>
          <w:b/>
          <w:bCs/>
        </w:rPr>
        <w:t>保险期间</w:t>
      </w:r>
    </w:p>
    <w:p>
      <w:pPr>
        <w:pStyle w:val="21"/>
        <w:spacing w:line="360" w:lineRule="auto"/>
        <w:ind w:right="-91"/>
        <w:rPr>
          <w:bCs/>
          <w:lang w:val="en-US"/>
        </w:rPr>
      </w:pPr>
      <w:r>
        <w:rPr>
          <w:rStyle w:val="44"/>
          <w:bCs/>
          <w:lang w:val="en-US"/>
        </w:rPr>
        <w:t xml:space="preserve">     </w:t>
      </w:r>
      <w:r>
        <w:rPr>
          <w:rStyle w:val="44"/>
          <w:bCs/>
        </w:rPr>
        <w:t>第八条</w:t>
      </w:r>
      <w:r>
        <w:rPr>
          <w:rStyle w:val="44"/>
          <w:b w:val="0"/>
        </w:rPr>
        <w:t xml:space="preserve"> 本保险合同保险期间由保险人和投保人协商确定，除另有约定外，本保险合同保险期间为一年，以保险单载明的起讫时间为准。</w:t>
      </w:r>
    </w:p>
    <w:p>
      <w:pPr>
        <w:pStyle w:val="21"/>
        <w:spacing w:line="360" w:lineRule="auto"/>
        <w:ind w:right="149"/>
        <w:rPr>
          <w:rStyle w:val="28"/>
          <w:b/>
          <w:bCs/>
        </w:rPr>
      </w:pPr>
      <w:r>
        <w:rPr>
          <w:rStyle w:val="28"/>
          <w:b/>
          <w:bCs/>
          <w:lang w:val="en-US"/>
        </w:rPr>
        <w:t xml:space="preserve">     </w:t>
      </w:r>
    </w:p>
    <w:p>
      <w:pPr>
        <w:pStyle w:val="21"/>
        <w:spacing w:line="360" w:lineRule="auto"/>
        <w:jc w:val="center"/>
        <w:rPr>
          <w:bCs/>
        </w:rPr>
      </w:pPr>
      <w:r>
        <w:rPr>
          <w:rStyle w:val="28"/>
          <w:b/>
          <w:bCs/>
          <w:lang w:val="en-US"/>
        </w:rPr>
        <w:t>保险金额</w:t>
      </w:r>
      <w:r>
        <w:rPr>
          <w:rStyle w:val="28"/>
          <w:b/>
          <w:bCs/>
        </w:rPr>
        <w:t>和免赔额</w:t>
      </w:r>
    </w:p>
    <w:p>
      <w:pPr>
        <w:pStyle w:val="21"/>
        <w:spacing w:line="360" w:lineRule="auto"/>
        <w:ind w:left="15" w:hanging="15" w:hangingChars="7"/>
        <w:rPr>
          <w:rStyle w:val="28"/>
          <w:b/>
          <w:bCs/>
        </w:rPr>
      </w:pPr>
      <w:r>
        <w:rPr>
          <w:rStyle w:val="28"/>
          <w:b/>
          <w:bCs/>
          <w:lang w:val="en-US"/>
        </w:rPr>
        <w:t xml:space="preserve">    </w:t>
      </w:r>
      <w:r>
        <w:rPr>
          <w:rStyle w:val="28"/>
          <w:b/>
          <w:bCs/>
        </w:rPr>
        <w:t>第九条</w:t>
      </w:r>
      <w:r>
        <w:rPr>
          <w:rStyle w:val="28"/>
          <w:b/>
          <w:bCs/>
          <w:lang w:val="en-US"/>
        </w:rPr>
        <w:t xml:space="preserve"> </w:t>
      </w:r>
      <w:r>
        <w:rPr>
          <w:rStyle w:val="28"/>
          <w:b/>
          <w:bCs/>
        </w:rPr>
        <w:t>保险金额和免赔额由投保人与保险人协商确定，并在保险合同中载明。</w:t>
      </w:r>
    </w:p>
    <w:p>
      <w:pPr>
        <w:pStyle w:val="21"/>
        <w:spacing w:line="360" w:lineRule="auto"/>
        <w:ind w:left="480"/>
        <w:jc w:val="both"/>
        <w:rPr>
          <w:rStyle w:val="28"/>
          <w:b/>
          <w:bCs/>
        </w:rPr>
      </w:pPr>
    </w:p>
    <w:p>
      <w:pPr>
        <w:pStyle w:val="21"/>
        <w:spacing w:line="360" w:lineRule="auto"/>
        <w:jc w:val="center"/>
        <w:rPr>
          <w:bCs/>
        </w:rPr>
      </w:pPr>
      <w:r>
        <w:rPr>
          <w:rStyle w:val="28"/>
          <w:b/>
          <w:bCs/>
        </w:rPr>
        <w:t>保险人义务</w:t>
      </w:r>
    </w:p>
    <w:p>
      <w:pPr>
        <w:pStyle w:val="19"/>
        <w:spacing w:after="0" w:line="360" w:lineRule="auto"/>
        <w:jc w:val="left"/>
        <w:rPr>
          <w:rStyle w:val="44"/>
        </w:rPr>
      </w:pPr>
      <w:r>
        <w:rPr>
          <w:b/>
          <w:lang w:val="en-US"/>
        </w:rPr>
        <w:t xml:space="preserve">    </w:t>
      </w:r>
      <w:r>
        <w:rPr>
          <w:b/>
        </w:rPr>
        <w:t>第十条</w:t>
      </w:r>
      <w:r>
        <w:rPr>
          <w:b/>
          <w:lang w:val="en-US"/>
        </w:rPr>
        <w:t xml:space="preserve"> </w:t>
      </w:r>
      <w:r>
        <w:rPr>
          <w:rStyle w:val="44"/>
        </w:rPr>
        <w:t>本保险合同成立后，保险人应当及时向投保人签发保险单或其他保险凭证。</w:t>
      </w:r>
    </w:p>
    <w:p>
      <w:pPr>
        <w:pStyle w:val="19"/>
        <w:spacing w:after="0" w:line="360" w:lineRule="auto"/>
        <w:ind w:right="82" w:rightChars="34"/>
        <w:jc w:val="left"/>
        <w:rPr>
          <w:rStyle w:val="44"/>
        </w:rPr>
      </w:pPr>
      <w:r>
        <w:rPr>
          <w:rStyle w:val="44"/>
          <w:lang w:val="en-US"/>
        </w:rPr>
        <w:t xml:space="preserve">    </w:t>
      </w:r>
      <w:r>
        <w:rPr>
          <w:rStyle w:val="44"/>
          <w:b/>
          <w:bCs/>
          <w:lang w:val="en-US"/>
        </w:rPr>
        <w:t xml:space="preserve">第十一条 </w:t>
      </w:r>
      <w:r>
        <w:rPr>
          <w:rStyle w:val="44"/>
        </w:rPr>
        <w:t>订立保险合同时，</w:t>
      </w:r>
      <w:r>
        <w:rPr>
          <w:color w:val="auto"/>
        </w:rPr>
        <w:t>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pStyle w:val="19"/>
        <w:adjustRightInd w:val="0"/>
        <w:snapToGrid w:val="0"/>
        <w:spacing w:after="0" w:line="360" w:lineRule="auto"/>
        <w:ind w:left="20" w:firstLine="460"/>
        <w:jc w:val="left"/>
      </w:pPr>
      <w:r>
        <w:rPr>
          <w:b/>
        </w:rPr>
        <w:t>第十二条</w:t>
      </w:r>
      <w:r>
        <w:rPr>
          <w:b/>
          <w:lang w:val="en-US"/>
        </w:rPr>
        <w:t xml:space="preserve"> </w:t>
      </w:r>
      <w:r>
        <w:rPr>
          <w:rStyle w:val="44"/>
        </w:rPr>
        <w:t>保险人依据本保险合同第十五条所取得的保险合同解除权，自保险人知道有解除事由之日起，超过三十日不行使而消灭。</w:t>
      </w:r>
    </w:p>
    <w:p>
      <w:pPr>
        <w:pStyle w:val="19"/>
        <w:spacing w:after="0" w:line="360" w:lineRule="auto"/>
        <w:ind w:left="20" w:right="20" w:firstLine="480"/>
        <w:jc w:val="left"/>
      </w:pPr>
      <w:r>
        <w:rPr>
          <w:b/>
        </w:rPr>
        <w:t>第十三条</w:t>
      </w:r>
      <w:r>
        <w:rPr>
          <w:b/>
          <w:lang w:val="en-US"/>
        </w:rPr>
        <w:t xml:space="preserve"> </w:t>
      </w:r>
      <w:r>
        <w:rPr>
          <w:rStyle w:val="44"/>
        </w:rPr>
        <w:t>保险人按照保险合同的约定，认为被保险人提供的有关索赔的证明和资料不完整的，应当及时一次性通知投保人、被保险人补充提供。</w:t>
      </w:r>
    </w:p>
    <w:p>
      <w:pPr>
        <w:pStyle w:val="19"/>
        <w:spacing w:after="0" w:line="360" w:lineRule="auto"/>
        <w:ind w:left="20" w:right="20" w:firstLine="480"/>
        <w:jc w:val="left"/>
      </w:pPr>
      <w:r>
        <w:rPr>
          <w:b/>
        </w:rPr>
        <w:t>第十四条</w:t>
      </w:r>
      <w:r>
        <w:rPr>
          <w:b/>
          <w:lang w:val="en-US"/>
        </w:rPr>
        <w:t xml:space="preserve"> </w:t>
      </w:r>
      <w:r>
        <w:rPr>
          <w:rStyle w:val="44"/>
        </w:rPr>
        <w:t>保险人收到被保险人的赔偿请求后，应当及时作出是否属于保险责任的核定；情形复杂的，应当在三十日内作出核定，但保险合同另有约定的除外。</w:t>
      </w:r>
    </w:p>
    <w:p>
      <w:pPr>
        <w:pStyle w:val="19"/>
        <w:spacing w:after="0" w:line="360" w:lineRule="auto"/>
        <w:ind w:left="20" w:right="20" w:firstLine="480"/>
        <w:jc w:val="left"/>
      </w:pPr>
      <w:r>
        <w:rPr>
          <w:rStyle w:val="44"/>
        </w:rPr>
        <w:t>保险人应当将核定结果通知被保险人；对属于保险责任的，在与被保险人达成赔偿协议后十日内，履行赔偿义务。保险合同对赔偿期限有约定的，保险人应当按照约定履行赔偿义务。保险人依照前款约定作出核定后，对不属于保险责任的，应当自作出核定之日起</w:t>
      </w:r>
      <w:r>
        <w:rPr>
          <w:rStyle w:val="44"/>
          <w:lang w:val="en-US"/>
        </w:rPr>
        <w:t>三日</w:t>
      </w:r>
      <w:r>
        <w:rPr>
          <w:rStyle w:val="44"/>
        </w:rPr>
        <w:t>内向被保险人发出拒绝赔偿通知书，并说明理由。</w:t>
      </w:r>
    </w:p>
    <w:p>
      <w:pPr>
        <w:pStyle w:val="17"/>
        <w:keepNext/>
        <w:keepLines/>
        <w:spacing w:before="0" w:line="360" w:lineRule="auto"/>
        <w:rPr>
          <w:rStyle w:val="25"/>
          <w:b/>
          <w:bCs/>
        </w:rPr>
      </w:pPr>
      <w:bookmarkStart w:id="6" w:name="bookmark7"/>
    </w:p>
    <w:p>
      <w:pPr>
        <w:pStyle w:val="17"/>
        <w:keepNext/>
        <w:keepLines/>
        <w:spacing w:before="0" w:line="360" w:lineRule="auto"/>
        <w:rPr>
          <w:bCs/>
        </w:rPr>
      </w:pPr>
      <w:r>
        <w:rPr>
          <w:rStyle w:val="25"/>
          <w:b/>
          <w:bCs/>
        </w:rPr>
        <w:t>投保人、被保险人义务</w:t>
      </w:r>
      <w:bookmarkEnd w:id="6"/>
    </w:p>
    <w:p>
      <w:pPr>
        <w:pStyle w:val="19"/>
        <w:spacing w:after="0" w:line="360" w:lineRule="auto"/>
        <w:ind w:left="20" w:right="20" w:firstLine="480"/>
        <w:jc w:val="left"/>
      </w:pPr>
      <w:r>
        <w:rPr>
          <w:b/>
        </w:rPr>
        <w:t>第十五条</w:t>
      </w:r>
      <w:r>
        <w:rPr>
          <w:b/>
          <w:lang w:val="en-US"/>
        </w:rPr>
        <w:t xml:space="preserve"> </w:t>
      </w:r>
      <w:r>
        <w:rPr>
          <w:rStyle w:val="44"/>
        </w:rPr>
        <w:t>订立保险合同，保险人就保险标的或者被保险人的有关情况提出询问的，投保人应当如实告知。</w:t>
      </w:r>
    </w:p>
    <w:p>
      <w:pPr>
        <w:pStyle w:val="19"/>
        <w:spacing w:after="0" w:line="360" w:lineRule="auto"/>
        <w:ind w:left="20" w:right="20" w:firstLine="480"/>
        <w:jc w:val="left"/>
        <w:rPr>
          <w:b/>
        </w:rPr>
      </w:pPr>
      <w:r>
        <w:rPr>
          <w:rStyle w:val="44"/>
          <w:b/>
        </w:rPr>
        <w:t>投保人故意或者因重大过失未履行前款规定的如实告知义务，足以影响保险人决定是否同意承保或者提高保险费率的，保险人有权解除保险合同。</w:t>
      </w:r>
    </w:p>
    <w:p>
      <w:pPr>
        <w:pStyle w:val="17"/>
        <w:keepNext/>
        <w:keepLines/>
        <w:spacing w:before="0" w:line="360" w:lineRule="auto"/>
        <w:ind w:left="20" w:right="20" w:firstLine="480"/>
        <w:jc w:val="left"/>
        <w:rPr>
          <w:bCs/>
        </w:rPr>
      </w:pPr>
      <w:bookmarkStart w:id="7" w:name="bookmark8"/>
      <w:r>
        <w:rPr>
          <w:rStyle w:val="25"/>
          <w:b/>
          <w:bCs/>
        </w:rPr>
        <w:t>投保人故意不履行如实告知义务的，保险人对于保险合同解除前发生的保险事故，不承担赔偿责任，并不退还保险费。</w:t>
      </w:r>
      <w:bookmarkEnd w:id="7"/>
    </w:p>
    <w:p>
      <w:pPr>
        <w:pStyle w:val="17"/>
        <w:keepNext/>
        <w:keepLines/>
        <w:spacing w:before="0" w:line="360" w:lineRule="auto"/>
        <w:ind w:left="20" w:right="20" w:firstLine="480"/>
        <w:jc w:val="left"/>
        <w:rPr>
          <w:rStyle w:val="25"/>
        </w:rPr>
      </w:pPr>
      <w:bookmarkStart w:id="8" w:name="bookmark9"/>
      <w:r>
        <w:rPr>
          <w:rStyle w:val="25"/>
          <w:b/>
          <w:bCs/>
        </w:rPr>
        <w:t>投保人因重大过失未履行如实告知义务，对保险事故的发生有严重影响的，保险人对于保险合同解除前发生的保险事故，不承担赔偿责任，但应当退还保险费。</w:t>
      </w:r>
      <w:bookmarkEnd w:id="8"/>
    </w:p>
    <w:p>
      <w:pPr>
        <w:spacing w:after="120" w:afterLines="50" w:line="360" w:lineRule="auto"/>
        <w:ind w:firstLine="422" w:firstLineChars="200"/>
        <w:rPr>
          <w:rStyle w:val="25"/>
          <w:b w:val="0"/>
        </w:rPr>
      </w:pPr>
      <w:r>
        <w:rPr>
          <w:rStyle w:val="25"/>
        </w:rPr>
        <w:t>第十六条</w:t>
      </w:r>
      <w:r>
        <w:rPr>
          <w:rStyle w:val="25"/>
          <w:lang w:val="en-US"/>
        </w:rPr>
        <w:t xml:space="preserve"> </w:t>
      </w:r>
      <w:r>
        <w:rPr>
          <w:rStyle w:val="25"/>
        </w:rPr>
        <w:t>除另有约定外，投保人应当在保险合同成立时一次性交付保险费。投保人未按约定交纳保险费，</w:t>
      </w:r>
      <w:r>
        <w:rPr>
          <w:rStyle w:val="25"/>
          <w:lang w:val="en-US"/>
        </w:rPr>
        <w:t>本保险合同不生效，本保险合同生效前</w:t>
      </w:r>
      <w:r>
        <w:rPr>
          <w:rStyle w:val="25"/>
        </w:rPr>
        <w:t>发生保险事故，保险人不承担赔偿责任。</w:t>
      </w:r>
    </w:p>
    <w:p>
      <w:pPr>
        <w:pStyle w:val="19"/>
        <w:spacing w:after="0" w:line="360" w:lineRule="auto"/>
        <w:ind w:left="20" w:right="20" w:firstLine="480"/>
        <w:jc w:val="left"/>
        <w:rPr>
          <w:bCs/>
        </w:rPr>
      </w:pPr>
      <w:r>
        <w:rPr>
          <w:b/>
        </w:rPr>
        <w:t>第十七条</w:t>
      </w:r>
      <w:r>
        <w:rPr>
          <w:b/>
          <w:lang w:val="en-US"/>
        </w:rPr>
        <w:t xml:space="preserve"> </w:t>
      </w:r>
      <w:r>
        <w:rPr>
          <w:rStyle w:val="44"/>
          <w:bCs/>
        </w:rPr>
        <w:t>保险标的转让的，被保险人或者受让人应当及时通知保险人并办理批改手续。</w:t>
      </w:r>
    </w:p>
    <w:p>
      <w:pPr>
        <w:pStyle w:val="19"/>
        <w:spacing w:after="0" w:line="360" w:lineRule="auto"/>
        <w:ind w:left="20" w:firstLine="480"/>
        <w:jc w:val="left"/>
        <w:rPr>
          <w:b/>
        </w:rPr>
      </w:pPr>
      <w:r>
        <w:rPr>
          <w:rStyle w:val="44"/>
          <w:b/>
        </w:rPr>
        <w:t>因保险标的转让导致危险程度显著增加的，保险人自收到前款规定的通知之日起三十日内，可以按照保险合同约定增加保险费或者解除合同。</w:t>
      </w:r>
    </w:p>
    <w:p>
      <w:pPr>
        <w:pStyle w:val="17"/>
        <w:keepNext/>
        <w:keepLines/>
        <w:spacing w:before="0" w:line="360" w:lineRule="auto"/>
        <w:ind w:right="20" w:firstLine="480"/>
        <w:jc w:val="left"/>
        <w:rPr>
          <w:bCs/>
        </w:rPr>
      </w:pPr>
      <w:bookmarkStart w:id="9" w:name="bookmark10"/>
      <w:r>
        <w:rPr>
          <w:rStyle w:val="25"/>
          <w:b/>
          <w:bCs/>
        </w:rPr>
        <w:t>被保险人、受让人未履行本条规定的通知义务的，因转让导致保险标的危险程度显著增加而发生的保险事故，保险人不承担赔偿责任。</w:t>
      </w:r>
      <w:bookmarkEnd w:id="9"/>
    </w:p>
    <w:p>
      <w:pPr>
        <w:pStyle w:val="19"/>
        <w:spacing w:after="0" w:line="360" w:lineRule="auto"/>
        <w:ind w:right="20" w:firstLine="480"/>
        <w:jc w:val="left"/>
        <w:rPr>
          <w:b/>
        </w:rPr>
      </w:pPr>
      <w:r>
        <w:rPr>
          <w:b/>
        </w:rPr>
        <w:t>第十八条</w:t>
      </w:r>
      <w:r>
        <w:rPr>
          <w:b/>
          <w:lang w:val="en-US"/>
        </w:rPr>
        <w:t xml:space="preserve"> </w:t>
      </w:r>
      <w:r>
        <w:rPr>
          <w:rStyle w:val="44"/>
          <w:b/>
        </w:rPr>
        <w:t>在保险合同有效期内，保险标的的危险程度显著增加的，被保险人应当按照合同约定及时通知保险人，保险人可以按照合同约定增加保险费或者解除合同。</w:t>
      </w:r>
    </w:p>
    <w:p>
      <w:pPr>
        <w:pStyle w:val="17"/>
        <w:keepNext/>
        <w:keepLines/>
        <w:spacing w:before="0" w:line="360" w:lineRule="auto"/>
        <w:ind w:right="20" w:firstLine="480"/>
        <w:jc w:val="left"/>
        <w:rPr>
          <w:bCs/>
        </w:rPr>
      </w:pPr>
      <w:bookmarkStart w:id="10" w:name="bookmark11"/>
      <w:r>
        <w:rPr>
          <w:rStyle w:val="25"/>
          <w:b/>
          <w:bCs/>
        </w:rPr>
        <w:t>被保险人未履行前款约定的通知义务的，因保险标的的危险程度显著增加而发生的保险事故，保险人不承担赔偿责任。</w:t>
      </w:r>
      <w:bookmarkEnd w:id="10"/>
    </w:p>
    <w:p>
      <w:pPr>
        <w:pStyle w:val="19"/>
        <w:spacing w:after="0" w:line="360" w:lineRule="auto"/>
        <w:ind w:firstLine="480"/>
        <w:jc w:val="left"/>
        <w:rPr>
          <w:rStyle w:val="44"/>
        </w:rPr>
      </w:pPr>
      <w:r>
        <w:rPr>
          <w:b/>
        </w:rPr>
        <w:t>第十九条</w:t>
      </w:r>
      <w:r>
        <w:rPr>
          <w:b/>
          <w:lang w:val="en-US"/>
        </w:rPr>
        <w:t xml:space="preserve"> </w:t>
      </w:r>
      <w:r>
        <w:rPr>
          <w:rStyle w:val="44"/>
        </w:rPr>
        <w:t>知道保险事故发生后，被保险人应该：</w:t>
      </w:r>
      <w:bookmarkStart w:id="11" w:name="bookmark12"/>
    </w:p>
    <w:p>
      <w:pPr>
        <w:pStyle w:val="19"/>
        <w:spacing w:after="0" w:line="360" w:lineRule="auto"/>
        <w:ind w:firstLine="480"/>
        <w:jc w:val="left"/>
        <w:rPr>
          <w:b/>
        </w:rPr>
      </w:pPr>
      <w:r>
        <w:rPr>
          <w:rStyle w:val="41"/>
        </w:rPr>
        <w:t>(一）</w:t>
      </w:r>
      <w:r>
        <w:rPr>
          <w:rStyle w:val="41"/>
          <w:b/>
          <w:bCs/>
        </w:rPr>
        <w:t>尽力采取必要、合理的措施，防止或减少损失，</w:t>
      </w:r>
      <w:r>
        <w:rPr>
          <w:rStyle w:val="25"/>
        </w:rPr>
        <w:t>否则，对因此扩大的损失，保险人不承担赔偿责任。</w:t>
      </w:r>
      <w:bookmarkEnd w:id="11"/>
    </w:p>
    <w:p>
      <w:pPr>
        <w:pStyle w:val="19"/>
        <w:spacing w:after="0" w:line="360" w:lineRule="auto"/>
        <w:ind w:right="20" w:firstLine="600"/>
        <w:jc w:val="left"/>
      </w:pPr>
      <w:r>
        <w:rPr>
          <w:rStyle w:val="44"/>
        </w:rPr>
        <w:t>(二）及时通知保险人，并书面说明事故发生的原因、经过和损失情况；</w:t>
      </w:r>
      <w:r>
        <w:rPr>
          <w:b/>
        </w:rPr>
        <w:t>故意或者因重大过失未及时通知，致使保险事故的性质、原因、损失程度等难以 确定的，保险人对无法确定的部分，不承担赔偿责任，</w:t>
      </w:r>
      <w:r>
        <w:rPr>
          <w:rStyle w:val="44"/>
        </w:rPr>
        <w:t>但保险人通过其他途径已经及时知道或者应当及时知道保险事故发生的除外。</w:t>
      </w:r>
    </w:p>
    <w:p>
      <w:pPr>
        <w:pStyle w:val="19"/>
        <w:spacing w:after="0" w:line="360" w:lineRule="auto"/>
        <w:ind w:firstLine="600"/>
        <w:jc w:val="left"/>
      </w:pPr>
      <w:r>
        <w:rPr>
          <w:rStyle w:val="44"/>
        </w:rPr>
        <w:t>(三）保护事故现场，允许并且协助保险人进行事故调查。</w:t>
      </w:r>
    </w:p>
    <w:p>
      <w:pPr>
        <w:pStyle w:val="17"/>
        <w:keepNext/>
        <w:keepLines/>
        <w:spacing w:before="0" w:line="360" w:lineRule="auto"/>
        <w:ind w:right="20" w:firstLine="480"/>
        <w:jc w:val="left"/>
        <w:rPr>
          <w:bCs/>
        </w:rPr>
      </w:pPr>
      <w:bookmarkStart w:id="12" w:name="bookmark13"/>
      <w:r>
        <w:rPr>
          <w:rStyle w:val="25"/>
          <w:b/>
          <w:bCs/>
        </w:rPr>
        <w:t>对于拒绝或者妨碍保险人进行事故调查导致无法确定事故原因或核实损失情况的，保险人对无法核实的部分不承担赔偿责任。</w:t>
      </w:r>
      <w:bookmarkEnd w:id="12"/>
    </w:p>
    <w:p>
      <w:pPr>
        <w:pStyle w:val="19"/>
        <w:numPr>
          <w:ilvl w:val="0"/>
          <w:numId w:val="3"/>
        </w:numPr>
        <w:spacing w:after="0" w:line="360" w:lineRule="auto"/>
        <w:ind w:left="480" w:right="640" w:firstLine="120"/>
        <w:jc w:val="left"/>
        <w:rPr>
          <w:rStyle w:val="44"/>
        </w:rPr>
      </w:pPr>
      <w:r>
        <w:rPr>
          <w:rStyle w:val="44"/>
        </w:rPr>
        <w:t>将受损的保险标的送至保险人指定的维修中心检查及维修。</w:t>
      </w:r>
    </w:p>
    <w:p>
      <w:pPr>
        <w:pStyle w:val="19"/>
        <w:spacing w:after="0" w:line="360" w:lineRule="auto"/>
        <w:ind w:right="640"/>
        <w:jc w:val="left"/>
      </w:pPr>
      <w:r>
        <w:rPr>
          <w:b/>
          <w:lang w:val="en-US"/>
        </w:rPr>
        <w:t xml:space="preserve">    </w:t>
      </w:r>
      <w:r>
        <w:rPr>
          <w:b/>
        </w:rPr>
        <w:t>第二十条</w:t>
      </w:r>
      <w:r>
        <w:rPr>
          <w:b/>
          <w:lang w:val="en-US"/>
        </w:rPr>
        <w:t xml:space="preserve"> </w:t>
      </w:r>
      <w:r>
        <w:rPr>
          <w:rStyle w:val="44"/>
        </w:rPr>
        <w:t>被保险人请求赔偿时，应向保险人提供下列证明和资料：</w:t>
      </w:r>
    </w:p>
    <w:p>
      <w:pPr>
        <w:pStyle w:val="19"/>
        <w:spacing w:after="0" w:line="360" w:lineRule="auto"/>
        <w:ind w:firstLine="600"/>
        <w:jc w:val="left"/>
      </w:pPr>
      <w:r>
        <w:rPr>
          <w:rStyle w:val="44"/>
        </w:rPr>
        <w:t>(一)</w:t>
      </w:r>
      <w:r>
        <w:rPr>
          <w:rStyle w:val="44"/>
          <w:lang w:val="en-US"/>
        </w:rPr>
        <w:t xml:space="preserve"> </w:t>
      </w:r>
      <w:r>
        <w:rPr>
          <w:rStyle w:val="44"/>
        </w:rPr>
        <w:t>保险单或其他保险凭证正本；</w:t>
      </w:r>
    </w:p>
    <w:p>
      <w:pPr>
        <w:pStyle w:val="19"/>
        <w:spacing w:after="0" w:line="360" w:lineRule="auto"/>
        <w:ind w:firstLine="600"/>
        <w:jc w:val="left"/>
      </w:pPr>
      <w:r>
        <w:rPr>
          <w:rStyle w:val="44"/>
        </w:rPr>
        <w:t>(二）被保险人或其代表填具的索赔申请书；</w:t>
      </w:r>
    </w:p>
    <w:p>
      <w:pPr>
        <w:pStyle w:val="19"/>
        <w:spacing w:after="0" w:line="360" w:lineRule="auto"/>
        <w:ind w:firstLine="600"/>
        <w:jc w:val="left"/>
      </w:pPr>
      <w:r>
        <w:rPr>
          <w:rStyle w:val="44"/>
        </w:rPr>
        <w:t>(三）购买保险标的的原始票据或其他能够证明保险标的价值的单据原</w:t>
      </w:r>
      <w:bookmarkStart w:id="13" w:name="bookmark14"/>
      <w:r>
        <w:rPr>
          <w:rStyle w:val="32"/>
        </w:rPr>
        <w:t>件；</w:t>
      </w:r>
      <w:bookmarkEnd w:id="13"/>
    </w:p>
    <w:p>
      <w:pPr>
        <w:pStyle w:val="19"/>
        <w:spacing w:after="0" w:line="360" w:lineRule="auto"/>
        <w:ind w:firstLine="600"/>
        <w:jc w:val="left"/>
      </w:pPr>
      <w:r>
        <w:rPr>
          <w:rStyle w:val="44"/>
        </w:rPr>
        <w:t>(四）被保险人身份证明原件及复印件；</w:t>
      </w:r>
    </w:p>
    <w:p>
      <w:pPr>
        <w:pStyle w:val="19"/>
        <w:spacing w:after="0" w:line="360" w:lineRule="auto"/>
        <w:ind w:firstLine="600"/>
        <w:jc w:val="left"/>
        <w:rPr>
          <w:rStyle w:val="44"/>
        </w:rPr>
      </w:pPr>
      <w:r>
        <w:rPr>
          <w:rStyle w:val="44"/>
        </w:rPr>
        <w:t>(五）故障诊断和维修记录；</w:t>
      </w:r>
    </w:p>
    <w:p>
      <w:pPr>
        <w:pStyle w:val="19"/>
        <w:spacing w:after="0" w:line="360" w:lineRule="auto"/>
        <w:ind w:firstLine="600"/>
        <w:jc w:val="left"/>
      </w:pPr>
      <w:r>
        <w:rPr>
          <w:rStyle w:val="44"/>
        </w:rPr>
        <w:t>(六）修复费用单据；</w:t>
      </w:r>
    </w:p>
    <w:p>
      <w:pPr>
        <w:pStyle w:val="19"/>
        <w:spacing w:after="0" w:line="360" w:lineRule="auto"/>
        <w:ind w:left="20" w:right="20" w:firstLine="600"/>
        <w:jc w:val="left"/>
      </w:pPr>
      <w:r>
        <w:rPr>
          <w:rStyle w:val="44"/>
        </w:rPr>
        <w:t>(七）投保人、被保险人所能提供的与确认保险事故的性质、原因、损失程度等有关的其他证明和资料。</w:t>
      </w:r>
    </w:p>
    <w:p>
      <w:pPr>
        <w:pStyle w:val="21"/>
        <w:spacing w:after="420" w:line="360" w:lineRule="auto"/>
        <w:ind w:left="20" w:right="20" w:firstLine="480"/>
        <w:rPr>
          <w:rStyle w:val="28"/>
          <w:b/>
          <w:bCs/>
        </w:rPr>
      </w:pPr>
      <w:r>
        <w:rPr>
          <w:rStyle w:val="28"/>
          <w:b/>
          <w:bCs/>
        </w:rPr>
        <w:t>被保险人未履行前款约定的索赔材料提供义务，导致保险人无法核实损失情况的，保险人对无法核实的部分不承担赔偿责任。</w:t>
      </w:r>
    </w:p>
    <w:p>
      <w:pPr>
        <w:pStyle w:val="21"/>
        <w:spacing w:line="360" w:lineRule="auto"/>
        <w:jc w:val="center"/>
        <w:rPr>
          <w:bCs/>
        </w:rPr>
      </w:pPr>
      <w:r>
        <w:rPr>
          <w:rStyle w:val="28"/>
          <w:b/>
          <w:bCs/>
        </w:rPr>
        <w:t>赔偿处理</w:t>
      </w:r>
    </w:p>
    <w:p>
      <w:pPr>
        <w:pStyle w:val="19"/>
        <w:spacing w:after="0" w:line="360" w:lineRule="auto"/>
        <w:ind w:left="20" w:right="20" w:firstLine="480"/>
        <w:jc w:val="both"/>
        <w:rPr>
          <w:b/>
          <w:bCs/>
        </w:rPr>
      </w:pPr>
      <w:r>
        <w:rPr>
          <w:b/>
        </w:rPr>
        <w:t>第二十一条</w:t>
      </w:r>
      <w:r>
        <w:rPr>
          <w:b/>
          <w:lang w:val="en-US"/>
        </w:rPr>
        <w:t xml:space="preserve"> </w:t>
      </w:r>
      <w:r>
        <w:rPr>
          <w:rStyle w:val="44"/>
          <w:b/>
          <w:bCs/>
        </w:rPr>
        <w:t>保险事故发生时，被保险人对保险标的不具有保险利益的，不得向保险人请求赔偿保险金。被保险人在保险标的出险后应及时向保险人报案，并在报案后将受损标的及时送至保险单载明的指定维修机构进行维修。</w:t>
      </w:r>
    </w:p>
    <w:p>
      <w:pPr>
        <w:pStyle w:val="21"/>
        <w:spacing w:line="360" w:lineRule="auto"/>
        <w:jc w:val="center"/>
        <w:rPr>
          <w:rStyle w:val="28"/>
          <w:b/>
          <w:bCs/>
        </w:rPr>
      </w:pPr>
    </w:p>
    <w:p>
      <w:pPr>
        <w:pStyle w:val="21"/>
        <w:spacing w:line="360" w:lineRule="auto"/>
        <w:jc w:val="center"/>
        <w:rPr>
          <w:bCs/>
        </w:rPr>
      </w:pPr>
      <w:r>
        <w:rPr>
          <w:rStyle w:val="28"/>
          <w:b/>
          <w:bCs/>
        </w:rPr>
        <w:t>争议处理和法律适用</w:t>
      </w:r>
    </w:p>
    <w:p>
      <w:pPr>
        <w:pStyle w:val="19"/>
        <w:spacing w:after="0" w:line="360" w:lineRule="auto"/>
        <w:ind w:left="20" w:right="20" w:firstLine="480"/>
        <w:jc w:val="both"/>
        <w:rPr>
          <w:rStyle w:val="44"/>
        </w:rPr>
      </w:pPr>
      <w:r>
        <w:rPr>
          <w:b/>
        </w:rPr>
        <w:t>第二十二条</w:t>
      </w:r>
      <w:r>
        <w:rPr>
          <w:b/>
          <w:lang w:val="en-US"/>
        </w:rPr>
        <w:t xml:space="preserve">  </w:t>
      </w:r>
      <w:r>
        <w:rPr>
          <w:rStyle w:val="44"/>
        </w:rPr>
        <w:t>因履行本保险合同发生的争议，由当事人协商解决。协商不成的，提交保险单载明的仲裁机构仲裁；保险单未载明仲裁机构且争议发生后未达成仲裁协议的，依法向有管辖权的人民法院起诉。</w:t>
      </w:r>
    </w:p>
    <w:p>
      <w:pPr>
        <w:pStyle w:val="19"/>
        <w:spacing w:after="0" w:line="360" w:lineRule="auto"/>
        <w:ind w:left="20" w:right="20" w:firstLine="480"/>
        <w:jc w:val="both"/>
      </w:pPr>
      <w:r>
        <w:rPr>
          <w:b/>
        </w:rPr>
        <w:t>第二十三条</w:t>
      </w:r>
      <w:r>
        <w:rPr>
          <w:b/>
          <w:lang w:val="en-US"/>
        </w:rPr>
        <w:t xml:space="preserve"> </w:t>
      </w:r>
      <w:r>
        <w:rPr>
          <w:rStyle w:val="44"/>
        </w:rPr>
        <w:t>与本保险合同有关的以及履行本保险合同产生的一切争议，适用中华人民共和国法律</w:t>
      </w:r>
      <w:r>
        <w:rPr>
          <w:rStyle w:val="44"/>
          <w:b/>
          <w:bCs/>
        </w:rPr>
        <w:t>（不包括港澳台地区法律）</w:t>
      </w:r>
      <w:r>
        <w:rPr>
          <w:rStyle w:val="44"/>
        </w:rPr>
        <w:t>。</w:t>
      </w:r>
    </w:p>
    <w:p>
      <w:pPr>
        <w:pStyle w:val="17"/>
        <w:keepNext/>
        <w:keepLines/>
        <w:spacing w:before="0" w:line="360" w:lineRule="auto"/>
        <w:rPr>
          <w:bCs/>
        </w:rPr>
      </w:pPr>
      <w:bookmarkStart w:id="14" w:name="bookmark15"/>
      <w:r>
        <w:rPr>
          <w:rStyle w:val="25"/>
          <w:b/>
          <w:bCs/>
        </w:rPr>
        <w:t>其他事项</w:t>
      </w:r>
      <w:bookmarkEnd w:id="14"/>
    </w:p>
    <w:p>
      <w:pPr>
        <w:pStyle w:val="19"/>
        <w:spacing w:after="0" w:line="360" w:lineRule="auto"/>
        <w:ind w:right="20" w:firstLine="500"/>
        <w:jc w:val="both"/>
        <w:rPr>
          <w:rStyle w:val="44"/>
        </w:rPr>
      </w:pPr>
      <w:r>
        <w:rPr>
          <w:b/>
        </w:rPr>
        <w:t>第二十四条</w:t>
      </w:r>
      <w:r>
        <w:rPr>
          <w:b/>
          <w:lang w:val="en-US"/>
        </w:rPr>
        <w:t xml:space="preserve"> </w:t>
      </w:r>
      <w:r>
        <w:rPr>
          <w:rStyle w:val="44"/>
        </w:rPr>
        <w:t>除《中华人民共和国保险法》另有规定或本保险合同另有约定外，投保人可随时书面申请解除本保险合同，本保险合同于保险人收到第二十五条所列证明文件和资料之时解除，保险责任同时终止。</w:t>
      </w:r>
    </w:p>
    <w:p>
      <w:pPr>
        <w:spacing w:after="120" w:afterLines="50" w:line="360" w:lineRule="auto"/>
        <w:ind w:firstLine="420" w:firstLineChars="200"/>
        <w:rPr>
          <w:rStyle w:val="44"/>
        </w:rPr>
      </w:pPr>
      <w:r>
        <w:rPr>
          <w:rStyle w:val="44"/>
        </w:rPr>
        <w:t>保险责任开始前，投保人要求解除保险合同的，应当按本保险合同的约定按总保险费的5%向保险人支付退保手续费，保险人应当退还剩余部分保险费。</w:t>
      </w:r>
    </w:p>
    <w:p>
      <w:pPr>
        <w:spacing w:after="120" w:afterLines="50" w:line="360" w:lineRule="auto"/>
        <w:rPr>
          <w:rStyle w:val="44"/>
        </w:rPr>
      </w:pPr>
      <w:r>
        <w:rPr>
          <w:rStyle w:val="44"/>
          <w:lang w:val="en-US"/>
        </w:rPr>
        <w:t xml:space="preserve">    </w:t>
      </w:r>
      <w:r>
        <w:rPr>
          <w:rStyle w:val="44"/>
        </w:rPr>
        <w:t>保险责任开始后，投保人要求解除保险合同的，自通知保险人之日起，保险人按日计收保险责任开始之日起至合同解除之日止期间的保险费，并退还剩余部分保险费。</w:t>
      </w:r>
    </w:p>
    <w:p>
      <w:pPr>
        <w:spacing w:after="120" w:afterLines="50" w:line="360" w:lineRule="auto"/>
        <w:ind w:firstLine="420" w:firstLineChars="200"/>
        <w:rPr>
          <w:rStyle w:val="44"/>
        </w:rPr>
      </w:pPr>
      <w:r>
        <w:rPr>
          <w:rStyle w:val="44"/>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pStyle w:val="19"/>
        <w:spacing w:after="0" w:line="360" w:lineRule="auto"/>
        <w:ind w:firstLine="500"/>
        <w:jc w:val="both"/>
      </w:pPr>
      <w:r>
        <w:rPr>
          <w:b/>
        </w:rPr>
        <w:t>第二十五条</w:t>
      </w:r>
      <w:r>
        <w:rPr>
          <w:b/>
          <w:lang w:val="en-US"/>
        </w:rPr>
        <w:t xml:space="preserve"> </w:t>
      </w:r>
      <w:r>
        <w:rPr>
          <w:rStyle w:val="44"/>
        </w:rPr>
        <w:t>投保人要求解除合同时，需提供下列证明和资料：</w:t>
      </w:r>
    </w:p>
    <w:p>
      <w:pPr>
        <w:pStyle w:val="19"/>
        <w:spacing w:after="0" w:line="360" w:lineRule="auto"/>
        <w:ind w:firstLine="600"/>
        <w:jc w:val="both"/>
      </w:pPr>
      <w:r>
        <w:rPr>
          <w:rStyle w:val="44"/>
        </w:rPr>
        <w:t>(一）保险单或其他保险凭证；</w:t>
      </w:r>
    </w:p>
    <w:p>
      <w:pPr>
        <w:pStyle w:val="19"/>
        <w:spacing w:after="0" w:line="360" w:lineRule="auto"/>
        <w:ind w:firstLine="600"/>
        <w:jc w:val="both"/>
      </w:pPr>
      <w:r>
        <w:rPr>
          <w:rStyle w:val="44"/>
        </w:rPr>
        <w:t>(二）解除合同申请书；</w:t>
      </w:r>
    </w:p>
    <w:p>
      <w:pPr>
        <w:pStyle w:val="19"/>
        <w:spacing w:after="0" w:line="360" w:lineRule="auto"/>
        <w:ind w:firstLine="600"/>
        <w:jc w:val="both"/>
      </w:pPr>
      <w:r>
        <w:rPr>
          <w:rStyle w:val="44"/>
        </w:rPr>
        <w:t>(三）投保人身份证明；</w:t>
      </w:r>
    </w:p>
    <w:p>
      <w:pPr>
        <w:pStyle w:val="3"/>
        <w:rPr>
          <w:rFonts w:hint="default" w:eastAsia="宋体"/>
          <w:lang w:val="en-US"/>
        </w:rPr>
      </w:pPr>
      <w:r>
        <w:rPr>
          <w:rFonts w:eastAsia="宋体"/>
          <w:lang w:val="en-US"/>
        </w:rPr>
        <w:t xml:space="preserve">        </w:t>
      </w:r>
      <w:r>
        <w:rPr>
          <w:rStyle w:val="44"/>
        </w:rPr>
        <w:t>（四）保险人要求提供的其他证明和材料。</w:t>
      </w:r>
    </w:p>
    <w:p>
      <w:pPr>
        <w:pStyle w:val="19"/>
        <w:spacing w:line="360" w:lineRule="auto"/>
        <w:ind w:right="20" w:firstLine="600"/>
        <w:jc w:val="both"/>
        <w:rPr>
          <w:b/>
        </w:rPr>
      </w:pPr>
    </w:p>
    <w:p>
      <w:pPr>
        <w:pStyle w:val="17"/>
        <w:keepNext/>
        <w:keepLines/>
        <w:spacing w:before="0" w:line="360" w:lineRule="auto"/>
        <w:ind w:left="20"/>
        <w:rPr>
          <w:bCs/>
        </w:rPr>
      </w:pPr>
      <w:bookmarkStart w:id="15" w:name="bookmark17"/>
      <w:r>
        <w:rPr>
          <w:rStyle w:val="25"/>
          <w:b/>
          <w:bCs/>
        </w:rPr>
        <w:t>释义</w:t>
      </w:r>
      <w:bookmarkEnd w:id="15"/>
    </w:p>
    <w:p>
      <w:pPr>
        <w:pStyle w:val="19"/>
        <w:spacing w:after="0" w:line="360" w:lineRule="auto"/>
        <w:ind w:right="20"/>
        <w:jc w:val="left"/>
        <w:rPr>
          <w:rFonts w:cs="宋体"/>
        </w:rPr>
      </w:pPr>
      <w:r>
        <w:rPr>
          <w:rFonts w:cs="宋体"/>
          <w:lang w:val="en-US"/>
        </w:rPr>
        <w:t xml:space="preserve">    </w:t>
      </w:r>
      <w:r>
        <w:rPr>
          <w:rFonts w:cs="宋体"/>
        </w:rPr>
        <w:t>1、</w:t>
      </w:r>
      <w:r>
        <w:rPr>
          <w:rStyle w:val="44"/>
          <w:rFonts w:cs="宋体"/>
        </w:rPr>
        <w:t>保险人：指与投保人签订本保险合同的华安财产保险股份有限公司或其分支机构。</w:t>
      </w:r>
    </w:p>
    <w:p>
      <w:pPr>
        <w:pStyle w:val="19"/>
        <w:spacing w:after="0" w:line="360" w:lineRule="auto"/>
        <w:jc w:val="left"/>
        <w:rPr>
          <w:rStyle w:val="44"/>
          <w:rFonts w:cs="宋体"/>
        </w:rPr>
      </w:pPr>
      <w:r>
        <w:rPr>
          <w:rFonts w:cs="宋体"/>
          <w:lang w:val="en-US"/>
        </w:rPr>
        <w:t xml:space="preserve">    2</w:t>
      </w:r>
      <w:r>
        <w:rPr>
          <w:rFonts w:cs="宋体"/>
        </w:rPr>
        <w:t>、</w:t>
      </w:r>
      <w:r>
        <w:rPr>
          <w:rStyle w:val="44"/>
          <w:rFonts w:cs="宋体"/>
        </w:rPr>
        <w:t>显示屏机械损坏：指显示屏破裂、严重划伤或漏液。</w:t>
      </w:r>
    </w:p>
    <w:p>
      <w:pPr>
        <w:pStyle w:val="20"/>
        <w:tabs>
          <w:tab w:val="left" w:pos="1416"/>
        </w:tabs>
        <w:spacing w:after="66" w:line="360" w:lineRule="auto"/>
        <w:ind w:firstLine="0"/>
        <w:jc w:val="left"/>
        <w:rPr>
          <w:rStyle w:val="44"/>
          <w:rFonts w:cs="宋体"/>
          <w:lang w:val="zh-CN" w:eastAsia="zh-CN"/>
        </w:rPr>
      </w:pPr>
      <w:r>
        <w:rPr>
          <w:rStyle w:val="44"/>
          <w:rFonts w:cs="宋体"/>
          <w:lang w:eastAsia="zh-CN"/>
        </w:rPr>
        <w:t xml:space="preserve">    3、相同或类似</w:t>
      </w:r>
      <w:r>
        <w:rPr>
          <w:rStyle w:val="44"/>
          <w:rFonts w:cs="宋体"/>
          <w:lang w:val="zh-CN" w:eastAsia="zh-CN"/>
        </w:rPr>
        <w:t>规格的同等级显示屏：指屏幕的制造工艺、材料等结构上的品质等同于原装，</w:t>
      </w:r>
      <w:r>
        <w:rPr>
          <w:rStyle w:val="44"/>
          <w:rFonts w:cs="宋体"/>
          <w:b/>
          <w:bCs/>
          <w:lang w:val="zh-CN" w:eastAsia="zh-CN"/>
        </w:rPr>
        <w:t>并非指厂家纯原装屏幕</w:t>
      </w:r>
      <w:r>
        <w:rPr>
          <w:rStyle w:val="44"/>
          <w:rFonts w:cs="宋体"/>
          <w:lang w:val="zh-CN" w:eastAsia="zh-CN"/>
        </w:rPr>
        <w:t>。</w:t>
      </w:r>
    </w:p>
    <w:p>
      <w:pPr>
        <w:pStyle w:val="19"/>
        <w:spacing w:after="0" w:line="360" w:lineRule="auto"/>
        <w:jc w:val="left"/>
        <w:rPr>
          <w:rFonts w:cs="宋体"/>
          <w:b/>
        </w:rPr>
      </w:pPr>
      <w:r>
        <w:rPr>
          <w:rStyle w:val="44"/>
          <w:rFonts w:cs="宋体"/>
          <w:lang w:val="en-US"/>
        </w:rPr>
        <w:t xml:space="preserve">    4</w:t>
      </w:r>
      <w:r>
        <w:rPr>
          <w:rFonts w:cs="宋体"/>
        </w:rPr>
        <w:t>、</w:t>
      </w:r>
      <w:r>
        <w:rPr>
          <w:rStyle w:val="44"/>
          <w:rFonts w:cs="宋体"/>
        </w:rPr>
        <w:t>故障：指保险标的丧失正常使用功能。所谓丧失正常使用功能指保险标的本身无法再执行其原有设计的功能。</w:t>
      </w:r>
      <w:r>
        <w:rPr>
          <w:rStyle w:val="44"/>
          <w:rFonts w:cs="宋体"/>
          <w:b/>
          <w:bCs/>
        </w:rPr>
        <w:t>但该功能的丧失若因任何承保范围以外的</w:t>
      </w:r>
      <w:bookmarkStart w:id="16" w:name="bookmark18"/>
      <w:r>
        <w:rPr>
          <w:rStyle w:val="44"/>
          <w:rFonts w:cs="宋体"/>
          <w:b/>
          <w:bCs/>
        </w:rPr>
        <w:t>原因所致，或因维修单位维修不当或判断错误所致，则不属于故障范围。</w:t>
      </w:r>
      <w:bookmarkEnd w:id="16"/>
    </w:p>
    <w:p>
      <w:pPr>
        <w:pStyle w:val="20"/>
        <w:tabs>
          <w:tab w:val="left" w:pos="1416"/>
        </w:tabs>
        <w:spacing w:after="66" w:line="360" w:lineRule="auto"/>
        <w:ind w:firstLine="0"/>
        <w:jc w:val="left"/>
        <w:rPr>
          <w:rStyle w:val="44"/>
          <w:rFonts w:cs="宋体"/>
        </w:rPr>
      </w:pPr>
      <w:r>
        <w:rPr>
          <w:rStyle w:val="40"/>
          <w:rFonts w:ascii="宋体" w:hAnsi="宋体" w:eastAsia="宋体" w:cs="宋体"/>
          <w:lang w:eastAsia="zh-CN"/>
        </w:rPr>
        <w:t xml:space="preserve">    5</w:t>
      </w:r>
      <w:r>
        <w:rPr>
          <w:rStyle w:val="40"/>
          <w:rFonts w:ascii="宋体" w:hAnsi="宋体" w:eastAsia="宋体" w:cs="宋体"/>
          <w:lang w:val="zh-CN" w:eastAsia="zh-CN"/>
        </w:rPr>
        <w:t>、</w:t>
      </w:r>
      <w:r>
        <w:rPr>
          <w:rStyle w:val="40"/>
          <w:rFonts w:ascii="宋体" w:hAnsi="宋体" w:eastAsia="宋体" w:cs="宋体"/>
        </w:rPr>
        <w:t>IMEI</w:t>
      </w:r>
      <w:r>
        <w:rPr>
          <w:rStyle w:val="29"/>
          <w:rFonts w:cs="宋体"/>
          <w:lang w:val="zh-CN" w:eastAsia="zh-CN"/>
        </w:rPr>
        <w:t>码：即</w:t>
      </w:r>
      <w:r>
        <w:rPr>
          <w:rStyle w:val="40"/>
          <w:rFonts w:ascii="宋体" w:hAnsi="宋体" w:eastAsia="宋体" w:cs="宋体"/>
          <w:lang w:val="zh-CN" w:eastAsia="zh-CN"/>
        </w:rPr>
        <w:t xml:space="preserve"> </w:t>
      </w:r>
      <w:r>
        <w:rPr>
          <w:rStyle w:val="40"/>
          <w:rFonts w:ascii="宋体" w:hAnsi="宋体" w:eastAsia="宋体" w:cs="宋体"/>
        </w:rPr>
        <w:t>International Mobile Equipment Identity</w:t>
      </w:r>
      <w:r>
        <w:rPr>
          <w:rStyle w:val="29"/>
          <w:rFonts w:cs="宋体"/>
        </w:rPr>
        <w:t>，</w:t>
      </w:r>
      <w:r>
        <w:rPr>
          <w:rStyle w:val="29"/>
          <w:rFonts w:cs="宋体"/>
          <w:lang w:val="zh-CN" w:eastAsia="zh-CN"/>
        </w:rPr>
        <w:t>是指移动设备国际</w:t>
      </w:r>
      <w:r>
        <w:rPr>
          <w:rStyle w:val="44"/>
          <w:rFonts w:cs="宋体"/>
        </w:rPr>
        <w:t>身份码的缩写。</w:t>
      </w:r>
    </w:p>
    <w:p>
      <w:pPr>
        <w:pStyle w:val="20"/>
        <w:tabs>
          <w:tab w:val="left" w:pos="1416"/>
        </w:tabs>
        <w:spacing w:after="66" w:line="360" w:lineRule="auto"/>
        <w:ind w:firstLine="0"/>
        <w:rPr>
          <w:rStyle w:val="44"/>
        </w:rPr>
      </w:pPr>
    </w:p>
    <w:sectPr>
      <w:type w:val="continuous"/>
      <w:pgSz w:w="11909" w:h="16834"/>
      <w:pgMar w:top="1576" w:right="1800" w:bottom="1596" w:left="1800" w:header="0" w:footer="3"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3173263">
    <w:nsid w:val="569DAA0F"/>
    <w:multiLevelType w:val="multilevel"/>
    <w:tmpl w:val="569DAA0F"/>
    <w:lvl w:ilvl="0" w:tentative="1">
      <w:start w:val="4"/>
      <w:numFmt w:val="chineseCounting"/>
      <w:suff w:val="nothing"/>
      <w:lvlText w:val="(%1）"/>
      <w:lvlJc w:val="left"/>
      <w:rPr>
        <w:rFonts w:hint="default"/>
        <w:u w:val="none" w:color="auto"/>
      </w:rPr>
    </w:lvl>
    <w:lvl w:ilvl="1" w:tentative="1">
      <w:start w:val="1"/>
      <w:numFmt w:val="decimal"/>
      <w:lvlText w:val=""/>
      <w:lvlJc w:val="left"/>
      <w:rPr>
        <w:rFonts w:hint="default"/>
        <w:u w:val="none" w:color="auto"/>
      </w:rPr>
    </w:lvl>
    <w:lvl w:ilvl="2" w:tentative="1">
      <w:start w:val="1"/>
      <w:numFmt w:val="decimal"/>
      <w:lvlText w:val=""/>
      <w:lvlJc w:val="left"/>
      <w:rPr>
        <w:rFonts w:hint="default"/>
        <w:u w:val="none" w:color="auto"/>
      </w:rPr>
    </w:lvl>
    <w:lvl w:ilvl="3" w:tentative="1">
      <w:start w:val="1"/>
      <w:numFmt w:val="decimal"/>
      <w:lvlText w:val=""/>
      <w:lvlJc w:val="left"/>
      <w:rPr>
        <w:rFonts w:hint="default"/>
        <w:u w:val="none" w:color="auto"/>
      </w:rPr>
    </w:lvl>
    <w:lvl w:ilvl="4" w:tentative="1">
      <w:start w:val="1"/>
      <w:numFmt w:val="decimal"/>
      <w:lvlText w:val=""/>
      <w:lvlJc w:val="left"/>
      <w:rPr>
        <w:rFonts w:hint="default"/>
        <w:u w:val="none" w:color="auto"/>
      </w:rPr>
    </w:lvl>
    <w:lvl w:ilvl="5" w:tentative="1">
      <w:start w:val="1"/>
      <w:numFmt w:val="decimal"/>
      <w:lvlText w:val=""/>
      <w:lvlJc w:val="left"/>
      <w:rPr>
        <w:rFonts w:hint="default"/>
        <w:u w:val="none" w:color="auto"/>
      </w:rPr>
    </w:lvl>
    <w:lvl w:ilvl="6" w:tentative="1">
      <w:start w:val="1"/>
      <w:numFmt w:val="decimal"/>
      <w:lvlText w:val=""/>
      <w:lvlJc w:val="left"/>
      <w:rPr>
        <w:rFonts w:hint="default"/>
        <w:u w:val="none" w:color="auto"/>
      </w:rPr>
    </w:lvl>
    <w:lvl w:ilvl="7" w:tentative="1">
      <w:start w:val="1"/>
      <w:numFmt w:val="decimal"/>
      <w:lvlText w:val=""/>
      <w:lvlJc w:val="left"/>
      <w:rPr>
        <w:rFonts w:hint="default"/>
        <w:u w:val="none" w:color="auto"/>
      </w:rPr>
    </w:lvl>
    <w:lvl w:ilvl="8" w:tentative="1">
      <w:start w:val="1"/>
      <w:numFmt w:val="decimal"/>
      <w:lvlText w:val=""/>
      <w:lvlJc w:val="left"/>
      <w:rPr>
        <w:rFonts w:hint="default"/>
        <w:u w:val="none" w:color="auto"/>
      </w:rPr>
    </w:lvl>
  </w:abstractNum>
  <w:abstractNum w:abstractNumId="1600846335">
    <w:nsid w:val="5F6AF9FF"/>
    <w:multiLevelType w:val="singleLevel"/>
    <w:tmpl w:val="5F6AF9FF"/>
    <w:lvl w:ilvl="0" w:tentative="1">
      <w:start w:val="1"/>
      <w:numFmt w:val="chineseCounting"/>
      <w:suff w:val="nothing"/>
      <w:lvlText w:val="(%1）"/>
      <w:lvlJc w:val="left"/>
    </w:lvl>
  </w:abstractNum>
  <w:abstractNum w:abstractNumId="1600846347">
    <w:nsid w:val="5F6AFA0B"/>
    <w:multiLevelType w:val="singleLevel"/>
    <w:tmpl w:val="5F6AFA0B"/>
    <w:lvl w:ilvl="0" w:tentative="1">
      <w:start w:val="2"/>
      <w:numFmt w:val="chineseCounting"/>
      <w:suff w:val="nothing"/>
      <w:lvlText w:val="(%1）"/>
      <w:lvlJc w:val="left"/>
    </w:lvl>
  </w:abstractNum>
  <w:num w:numId="1">
    <w:abstractNumId w:val="1600846335"/>
  </w:num>
  <w:num w:numId="2">
    <w:abstractNumId w:val="1600846347"/>
  </w:num>
  <w:num w:numId="3">
    <w:abstractNumId w:val="14531732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rawingGridHorizontalSpacing w:val="181"/>
  <w:drawingGridVerticalSpacing w:val="181"/>
  <w:displayHorizontalDrawingGridEvery w:val="1"/>
  <w:displayVerticalDrawingGridEvery w:val="1"/>
  <w:doNotShadeFormData w:val="1"/>
  <w:noPunctuationKerning w:val="1"/>
  <w:characterSpacingControl w:val="compressPunctuation"/>
  <w:doNotValidateAgainstSchema/>
  <w:doNotDemarcateInvalidXml/>
  <w:compat>
    <w:spaceForUL/>
    <w:doNotLeaveBackslashAlon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C5496"/>
    <w:rsid w:val="002A5C68"/>
    <w:rsid w:val="00556818"/>
    <w:rsid w:val="0059293A"/>
    <w:rsid w:val="00656AB2"/>
    <w:rsid w:val="00670F3E"/>
    <w:rsid w:val="00721B7C"/>
    <w:rsid w:val="00CC2FCC"/>
    <w:rsid w:val="00D03C57"/>
    <w:rsid w:val="00F71D01"/>
    <w:rsid w:val="017373AF"/>
    <w:rsid w:val="02034603"/>
    <w:rsid w:val="023A576B"/>
    <w:rsid w:val="029C4DE2"/>
    <w:rsid w:val="029E0CDB"/>
    <w:rsid w:val="03A203E9"/>
    <w:rsid w:val="05994BAE"/>
    <w:rsid w:val="05B66CEF"/>
    <w:rsid w:val="09A57640"/>
    <w:rsid w:val="0A5138A1"/>
    <w:rsid w:val="0A814349"/>
    <w:rsid w:val="0AB7678A"/>
    <w:rsid w:val="0ACB56D7"/>
    <w:rsid w:val="0B7659ED"/>
    <w:rsid w:val="0C110CC4"/>
    <w:rsid w:val="0C224A3D"/>
    <w:rsid w:val="0C342647"/>
    <w:rsid w:val="0CD96827"/>
    <w:rsid w:val="0D5F65CD"/>
    <w:rsid w:val="0DA62A8B"/>
    <w:rsid w:val="0DDB664A"/>
    <w:rsid w:val="0E0E7D9E"/>
    <w:rsid w:val="104A18C6"/>
    <w:rsid w:val="116C2CA3"/>
    <w:rsid w:val="11C52438"/>
    <w:rsid w:val="12CF26E4"/>
    <w:rsid w:val="12FC6D57"/>
    <w:rsid w:val="152F0F17"/>
    <w:rsid w:val="15690030"/>
    <w:rsid w:val="15CE56BD"/>
    <w:rsid w:val="15DF5E35"/>
    <w:rsid w:val="16565643"/>
    <w:rsid w:val="17CF18C5"/>
    <w:rsid w:val="18467292"/>
    <w:rsid w:val="19455296"/>
    <w:rsid w:val="19DC71FA"/>
    <w:rsid w:val="1B6D477F"/>
    <w:rsid w:val="1D203BBF"/>
    <w:rsid w:val="1DAD7F96"/>
    <w:rsid w:val="1E2458FF"/>
    <w:rsid w:val="1EF43A2E"/>
    <w:rsid w:val="1F990CE4"/>
    <w:rsid w:val="21802565"/>
    <w:rsid w:val="21D4060F"/>
    <w:rsid w:val="2264467A"/>
    <w:rsid w:val="2286390A"/>
    <w:rsid w:val="22DB7B3C"/>
    <w:rsid w:val="230A4E08"/>
    <w:rsid w:val="243B67FF"/>
    <w:rsid w:val="26E8473B"/>
    <w:rsid w:val="26EE15A1"/>
    <w:rsid w:val="28A65089"/>
    <w:rsid w:val="2A6D5721"/>
    <w:rsid w:val="2AB6158A"/>
    <w:rsid w:val="2B646F1E"/>
    <w:rsid w:val="2B9B787B"/>
    <w:rsid w:val="2D136F02"/>
    <w:rsid w:val="2D5D38F9"/>
    <w:rsid w:val="2D6039BD"/>
    <w:rsid w:val="2DBA0995"/>
    <w:rsid w:val="2E43125C"/>
    <w:rsid w:val="2E6F0671"/>
    <w:rsid w:val="2FC873F0"/>
    <w:rsid w:val="308C0433"/>
    <w:rsid w:val="30BC5461"/>
    <w:rsid w:val="3197467F"/>
    <w:rsid w:val="32910558"/>
    <w:rsid w:val="336213A8"/>
    <w:rsid w:val="351927F3"/>
    <w:rsid w:val="36111CCA"/>
    <w:rsid w:val="363479F9"/>
    <w:rsid w:val="366E59E5"/>
    <w:rsid w:val="36B10442"/>
    <w:rsid w:val="37B702A1"/>
    <w:rsid w:val="37BD0520"/>
    <w:rsid w:val="3814746F"/>
    <w:rsid w:val="38315FF8"/>
    <w:rsid w:val="388D46F5"/>
    <w:rsid w:val="390A32F2"/>
    <w:rsid w:val="3B800DE2"/>
    <w:rsid w:val="3CCF5F90"/>
    <w:rsid w:val="3D195ADF"/>
    <w:rsid w:val="3E6C07C5"/>
    <w:rsid w:val="3E9247A1"/>
    <w:rsid w:val="3FFE458D"/>
    <w:rsid w:val="40250BC9"/>
    <w:rsid w:val="420B0DEA"/>
    <w:rsid w:val="434772B4"/>
    <w:rsid w:val="4421778B"/>
    <w:rsid w:val="45A07E02"/>
    <w:rsid w:val="45D219F0"/>
    <w:rsid w:val="469A1E62"/>
    <w:rsid w:val="477B4ED7"/>
    <w:rsid w:val="47BB7CA6"/>
    <w:rsid w:val="4AD431C8"/>
    <w:rsid w:val="4C66703E"/>
    <w:rsid w:val="4CC27948"/>
    <w:rsid w:val="4F62158B"/>
    <w:rsid w:val="4FB06782"/>
    <w:rsid w:val="4FCF4E7E"/>
    <w:rsid w:val="50007FAB"/>
    <w:rsid w:val="50124E1A"/>
    <w:rsid w:val="524D0715"/>
    <w:rsid w:val="54301B84"/>
    <w:rsid w:val="54CF1302"/>
    <w:rsid w:val="57773303"/>
    <w:rsid w:val="57AD4064"/>
    <w:rsid w:val="59502516"/>
    <w:rsid w:val="5A2C317E"/>
    <w:rsid w:val="5AC80260"/>
    <w:rsid w:val="5B3D1B27"/>
    <w:rsid w:val="5D64213D"/>
    <w:rsid w:val="5D716CCF"/>
    <w:rsid w:val="5E0A2313"/>
    <w:rsid w:val="5EA62D4F"/>
    <w:rsid w:val="60AB184F"/>
    <w:rsid w:val="60C61922"/>
    <w:rsid w:val="60CD4BBB"/>
    <w:rsid w:val="6350047D"/>
    <w:rsid w:val="64BA7027"/>
    <w:rsid w:val="65C37CFC"/>
    <w:rsid w:val="67BF6A43"/>
    <w:rsid w:val="68F40E38"/>
    <w:rsid w:val="69AD29EB"/>
    <w:rsid w:val="69BF0DB5"/>
    <w:rsid w:val="6A547FDA"/>
    <w:rsid w:val="707B4D1F"/>
    <w:rsid w:val="717D3F41"/>
    <w:rsid w:val="72B53C3D"/>
    <w:rsid w:val="73741BE5"/>
    <w:rsid w:val="748C26B2"/>
    <w:rsid w:val="74AD3D78"/>
    <w:rsid w:val="75055A8C"/>
    <w:rsid w:val="751D0B56"/>
    <w:rsid w:val="75EE5A09"/>
    <w:rsid w:val="766E4635"/>
    <w:rsid w:val="7B3D10BE"/>
    <w:rsid w:val="7CC72DC3"/>
    <w:rsid w:val="7CDD4C56"/>
    <w:rsid w:val="7D2F3A6C"/>
    <w:rsid w:val="7DD8636B"/>
    <w:rsid w:val="7F0D42D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uiPriority="99" w:semiHidden="0" w:name="Body Text"/>
    <w:lsdException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qFormat/>
    <w:uiPriority w:val="99"/>
    <w:pPr>
      <w:widowControl w:val="0"/>
    </w:pPr>
    <w:rPr>
      <w:rFonts w:hint="eastAsia" w:eastAsia="Times New Roman"/>
      <w:color w:val="000000"/>
      <w:sz w:val="24"/>
      <w:lang w:val="zh-CN" w:eastAsia="zh-CN" w:bidi="ar-SA"/>
    </w:rPr>
  </w:style>
  <w:style w:type="character" w:default="1" w:styleId="10">
    <w:name w:val="Default Paragraph Font"/>
    <w:link w:val="11"/>
    <w:unhideWhenUsed/>
    <w:uiPriority w:val="99"/>
    <w:rPr>
      <w:rFonts w:hint="default" w:ascii="Tahoma" w:hAnsi="Tahoma" w:eastAsia="宋体"/>
      <w:sz w:val="24"/>
    </w:rPr>
  </w:style>
  <w:style w:type="table" w:default="1" w:styleId="16">
    <w:name w:val="Normal Table"/>
    <w:qFormat/>
    <w:uiPriority w:val="99"/>
    <w:tblPr>
      <w:tblStyle w:val="16"/>
      <w:tblLayout w:type="fixed"/>
      <w:tblCellMar>
        <w:top w:w="0" w:type="dxa"/>
        <w:left w:w="108" w:type="dxa"/>
        <w:bottom w:w="0" w:type="dxa"/>
        <w:right w:w="108" w:type="dxa"/>
      </w:tblCellMar>
    </w:tblPr>
    <w:tcPr>
      <w:textDirection w:val="lrTb"/>
    </w:tcPr>
  </w:style>
  <w:style w:type="paragraph" w:styleId="2">
    <w:name w:val="annotation subject"/>
    <w:basedOn w:val="3"/>
    <w:next w:val="3"/>
    <w:link w:val="24"/>
    <w:qFormat/>
    <w:uiPriority w:val="99"/>
    <w:rPr>
      <w:b/>
      <w:bCs/>
    </w:rPr>
  </w:style>
  <w:style w:type="paragraph" w:styleId="3">
    <w:name w:val="annotation text"/>
    <w:basedOn w:val="1"/>
    <w:link w:val="46"/>
    <w:qFormat/>
    <w:uiPriority w:val="99"/>
    <w:pPr>
      <w:jc w:val="left"/>
    </w:pPr>
  </w:style>
  <w:style w:type="paragraph" w:styleId="4">
    <w:name w:val="Document Map"/>
    <w:basedOn w:val="1"/>
    <w:unhideWhenUsed/>
    <w:uiPriority w:val="99"/>
    <w:pPr>
      <w:shd w:val="clear" w:color="auto" w:fill="000080"/>
    </w:pPr>
    <w:rPr>
      <w:rFonts w:hint="eastAsia"/>
      <w:sz w:val="24"/>
    </w:rPr>
  </w:style>
  <w:style w:type="paragraph" w:styleId="5">
    <w:name w:val="Body Text"/>
    <w:basedOn w:val="1"/>
    <w:link w:val="34"/>
    <w:unhideWhenUsed/>
    <w:uiPriority w:val="99"/>
    <w:pPr>
      <w:spacing w:after="120"/>
    </w:pPr>
    <w:rPr>
      <w:rFonts w:hint="eastAsia"/>
      <w:sz w:val="24"/>
    </w:rPr>
  </w:style>
  <w:style w:type="paragraph" w:styleId="6">
    <w:name w:val="Body Text Indent"/>
    <w:basedOn w:val="1"/>
    <w:link w:val="26"/>
    <w:unhideWhenUsed/>
    <w:uiPriority w:val="99"/>
    <w:pPr>
      <w:ind w:firstLine="420" w:firstLineChars="200"/>
    </w:pPr>
    <w:rPr>
      <w:rFonts w:hint="eastAsia" w:ascii="宋体" w:hAnsi="宋体"/>
      <w:sz w:val="24"/>
    </w:rPr>
  </w:style>
  <w:style w:type="paragraph" w:styleId="7">
    <w:name w:val="Balloon Text"/>
    <w:basedOn w:val="1"/>
    <w:link w:val="27"/>
    <w:qFormat/>
    <w:uiPriority w:val="99"/>
    <w:rPr>
      <w:sz w:val="18"/>
      <w:szCs w:val="18"/>
    </w:rPr>
  </w:style>
  <w:style w:type="paragraph" w:styleId="8">
    <w:name w:val="footer"/>
    <w:basedOn w:val="1"/>
    <w:unhideWhenUsed/>
    <w:uiPriority w:val="99"/>
    <w:pPr>
      <w:tabs>
        <w:tab w:val="center" w:pos="4153"/>
        <w:tab w:val="right" w:pos="8306"/>
      </w:tabs>
      <w:snapToGrid w:val="0"/>
    </w:pPr>
    <w:rPr>
      <w:rFonts w:hint="eastAsia"/>
      <w:sz w:val="18"/>
    </w:rPr>
  </w:style>
  <w:style w:type="paragraph" w:styleId="9">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 Char Char Char"/>
    <w:basedOn w:val="4"/>
    <w:link w:val="10"/>
    <w:unhideWhenUsed/>
    <w:uiPriority w:val="0"/>
    <w:pPr>
      <w:adjustRightInd w:val="0"/>
      <w:snapToGrid w:val="0"/>
      <w:spacing w:line="360" w:lineRule="auto"/>
    </w:pPr>
    <w:rPr>
      <w:rFonts w:hint="eastAsia" w:ascii="Tahoma" w:hAnsi="Tahoma"/>
      <w:sz w:val="24"/>
    </w:rPr>
  </w:style>
  <w:style w:type="character" w:styleId="12">
    <w:name w:val="page number"/>
    <w:unhideWhenUsed/>
    <w:uiPriority w:val="99"/>
    <w:rPr>
      <w:rFonts w:hint="default" w:ascii="Tahoma" w:hAnsi="Tahoma" w:eastAsia="宋体"/>
      <w:sz w:val="24"/>
    </w:rPr>
  </w:style>
  <w:style w:type="character" w:styleId="13">
    <w:name w:val="FollowedHyperlink"/>
    <w:qFormat/>
    <w:uiPriority w:val="99"/>
    <w:rPr>
      <w:rFonts w:hint="default" w:ascii="Tahoma" w:hAnsi="Tahoma" w:eastAsia="宋体"/>
      <w:color w:val="800080"/>
      <w:sz w:val="24"/>
      <w:u w:val="single"/>
    </w:rPr>
  </w:style>
  <w:style w:type="character" w:styleId="14">
    <w:name w:val="Hyperlink"/>
    <w:qFormat/>
    <w:uiPriority w:val="99"/>
    <w:rPr>
      <w:rFonts w:hint="default" w:ascii="Tahoma" w:hAnsi="Tahoma" w:eastAsia="宋体"/>
      <w:color w:val="0000FF"/>
      <w:sz w:val="24"/>
      <w:u w:val="single"/>
    </w:rPr>
  </w:style>
  <w:style w:type="character" w:styleId="15">
    <w:name w:val="annotation reference"/>
    <w:qFormat/>
    <w:uiPriority w:val="99"/>
    <w:rPr>
      <w:rFonts w:hint="default" w:ascii="Tahoma" w:hAnsi="Tahoma" w:eastAsia="宋体"/>
      <w:sz w:val="21"/>
      <w:szCs w:val="21"/>
    </w:rPr>
  </w:style>
  <w:style w:type="paragraph" w:customStyle="1" w:styleId="17">
    <w:name w:val="MSG_EN_FONT_STYLE_NAME_TEMPLATE_ROLE_LEVEL MSG_EN_FONT_STYLE_NAME_BY_ROLE_HEADING 2"/>
    <w:basedOn w:val="1"/>
    <w:link w:val="25"/>
    <w:unhideWhenUsed/>
    <w:uiPriority w:val="99"/>
    <w:pPr>
      <w:shd w:val="clear" w:color="auto" w:fill="FFFFFF"/>
      <w:spacing w:before="900" w:line="466" w:lineRule="exact"/>
      <w:jc w:val="center"/>
      <w:outlineLvl w:val="1"/>
    </w:pPr>
    <w:rPr>
      <w:rFonts w:hint="eastAsia" w:ascii="宋体" w:hAnsi="宋体" w:eastAsia="宋体"/>
      <w:b/>
      <w:sz w:val="21"/>
    </w:rPr>
  </w:style>
  <w:style w:type="paragraph" w:customStyle="1" w:styleId="18">
    <w:name w:val="MSG_EN_FONT_STYLE_NAME_TEMPLATE_ROLE_LEVEL_NUMBER MSG_EN_FONT_STYLE_NAME_BY_ROLE_HEADING 2 2"/>
    <w:basedOn w:val="1"/>
    <w:link w:val="32"/>
    <w:unhideWhenUsed/>
    <w:uiPriority w:val="99"/>
    <w:pPr>
      <w:shd w:val="clear" w:color="auto" w:fill="FFFFFF"/>
      <w:spacing w:line="466" w:lineRule="exact"/>
      <w:outlineLvl w:val="1"/>
    </w:pPr>
    <w:rPr>
      <w:rFonts w:hint="eastAsia" w:ascii="宋体" w:hAnsi="宋体" w:eastAsia="宋体"/>
      <w:sz w:val="21"/>
    </w:rPr>
  </w:style>
  <w:style w:type="paragraph" w:customStyle="1" w:styleId="19">
    <w:name w:val="MSG_EN_FONT_STYLE_NAME_TEMPLATE_ROLE MSG_EN_FONT_STYLE_NAME_BY_ROLE_TEXT"/>
    <w:basedOn w:val="1"/>
    <w:link w:val="44"/>
    <w:unhideWhenUsed/>
    <w:uiPriority w:val="99"/>
    <w:pPr>
      <w:shd w:val="clear" w:color="auto" w:fill="FFFFFF"/>
      <w:spacing w:after="420" w:line="466" w:lineRule="exact"/>
      <w:jc w:val="distribute"/>
    </w:pPr>
    <w:rPr>
      <w:rFonts w:hint="eastAsia" w:ascii="宋体" w:hAnsi="宋体" w:eastAsia="宋体"/>
      <w:sz w:val="21"/>
    </w:rPr>
  </w:style>
  <w:style w:type="paragraph" w:customStyle="1" w:styleId="20">
    <w:name w:val="MSG_EN_FONT_STYLE_NAME_TEMPLATE_ROLE_NUMBER MSG_EN_FONT_STYLE_NAME_BY_ROLE_TEXT 3"/>
    <w:basedOn w:val="1"/>
    <w:link w:val="40"/>
    <w:unhideWhenUsed/>
    <w:uiPriority w:val="99"/>
    <w:pPr>
      <w:shd w:val="clear" w:color="auto" w:fill="FFFFFF"/>
      <w:spacing w:after="60" w:line="240" w:lineRule="atLeast"/>
      <w:ind w:firstLine="480"/>
      <w:jc w:val="both"/>
    </w:pPr>
    <w:rPr>
      <w:rFonts w:hint="eastAsia"/>
      <w:sz w:val="21"/>
      <w:lang w:val="en-US" w:eastAsia="en-US"/>
    </w:rPr>
  </w:style>
  <w:style w:type="paragraph" w:customStyle="1" w:styleId="21">
    <w:name w:val="MSG_EN_FONT_STYLE_NAME_TEMPLATE_ROLE_NUMBER MSG_EN_FONT_STYLE_NAME_BY_ROLE_TEXT 2"/>
    <w:basedOn w:val="1"/>
    <w:link w:val="28"/>
    <w:unhideWhenUsed/>
    <w:uiPriority w:val="99"/>
    <w:pPr>
      <w:shd w:val="clear" w:color="auto" w:fill="FFFFFF"/>
      <w:spacing w:line="466" w:lineRule="exact"/>
    </w:pPr>
    <w:rPr>
      <w:rFonts w:hint="eastAsia" w:ascii="宋体" w:hAnsi="宋体" w:eastAsia="宋体"/>
      <w:b/>
      <w:sz w:val="21"/>
    </w:rPr>
  </w:style>
  <w:style w:type="paragraph" w:customStyle="1" w:styleId="22">
    <w:name w:val="MSG_EN_FONT_STYLE_NAME_TEMPLATE_ROLE_LEVEL MSG_EN_FONT_STYLE_NAME_BY_ROLE_HEADING 1"/>
    <w:basedOn w:val="1"/>
    <w:link w:val="42"/>
    <w:unhideWhenUsed/>
    <w:uiPriority w:val="99"/>
    <w:pPr>
      <w:shd w:val="clear" w:color="auto" w:fill="FFFFFF"/>
      <w:spacing w:after="240" w:line="240" w:lineRule="atLeast"/>
      <w:jc w:val="center"/>
      <w:outlineLvl w:val="0"/>
    </w:pPr>
    <w:rPr>
      <w:rFonts w:hint="eastAsia" w:ascii="宋体" w:hAnsi="宋体" w:eastAsia="宋体"/>
      <w:b/>
      <w:sz w:val="30"/>
    </w:rPr>
  </w:style>
  <w:style w:type="paragraph" w:customStyle="1" w:styleId="23">
    <w:name w:val="p0"/>
    <w:basedOn w:val="1"/>
    <w:uiPriority w:val="0"/>
    <w:pPr>
      <w:widowControl/>
    </w:pPr>
    <w:rPr>
      <w:kern w:val="0"/>
      <w:szCs w:val="21"/>
    </w:rPr>
  </w:style>
  <w:style w:type="character" w:customStyle="1" w:styleId="24">
    <w:name w:val="批注主题 字符"/>
    <w:link w:val="2"/>
    <w:uiPriority w:val="99"/>
    <w:rPr>
      <w:rFonts w:hint="default" w:ascii="Tahoma" w:hAnsi="Tahoma" w:eastAsia="Times New Roman"/>
      <w:b/>
      <w:bCs/>
      <w:color w:val="000000"/>
      <w:sz w:val="24"/>
      <w:lang w:val="zh-CN"/>
    </w:rPr>
  </w:style>
  <w:style w:type="character" w:customStyle="1" w:styleId="25">
    <w:name w:val="MSG_EN_FONT_STYLE_NAME_TEMPLATE_ROLE_LEVEL MSG_EN_FONT_STYLE_NAME_BY_ROLE_HEADING 2_"/>
    <w:link w:val="17"/>
    <w:unhideWhenUsed/>
    <w:uiPriority w:val="99"/>
    <w:rPr>
      <w:rFonts w:hint="eastAsia" w:ascii="宋体" w:hAnsi="宋体" w:eastAsia="宋体"/>
      <w:b/>
      <w:sz w:val="21"/>
    </w:rPr>
  </w:style>
  <w:style w:type="character" w:customStyle="1" w:styleId="26">
    <w:name w:val="正文文本缩进 字符"/>
    <w:link w:val="6"/>
    <w:uiPriority w:val="99"/>
    <w:rPr>
      <w:rFonts w:hint="default" w:ascii="宋体" w:hAnsi="宋体" w:eastAsia="Times New Roman"/>
      <w:color w:val="000000"/>
      <w:sz w:val="24"/>
      <w:lang w:val="zh-CN"/>
    </w:rPr>
  </w:style>
  <w:style w:type="character" w:customStyle="1" w:styleId="27">
    <w:name w:val="批注框文本 字符"/>
    <w:link w:val="7"/>
    <w:uiPriority w:val="99"/>
    <w:rPr>
      <w:rFonts w:hint="default" w:ascii="Tahoma" w:hAnsi="Tahoma" w:eastAsia="Times New Roman"/>
      <w:color w:val="000000"/>
      <w:sz w:val="18"/>
      <w:szCs w:val="18"/>
      <w:lang w:val="zh-CN"/>
    </w:rPr>
  </w:style>
  <w:style w:type="character" w:customStyle="1" w:styleId="28">
    <w:name w:val="MSG_EN_FONT_STYLE_NAME_TEMPLATE_ROLE_NUMBER MSG_EN_FONT_STYLE_NAME_BY_ROLE_TEXT 2_"/>
    <w:link w:val="21"/>
    <w:unhideWhenUsed/>
    <w:uiPriority w:val="99"/>
    <w:rPr>
      <w:rFonts w:hint="eastAsia" w:ascii="宋体" w:hAnsi="宋体" w:eastAsia="宋体"/>
      <w:b/>
      <w:sz w:val="21"/>
    </w:rPr>
  </w:style>
  <w:style w:type="character" w:customStyle="1" w:styleId="29">
    <w:name w:val="MSG_EN_FONT_STYLE_NAME_TEMPLATE_ROLE_NUMBER MSG_EN_FONT_STYLE_NAME_BY_ROLE_TEXT 3 + MSG_EN_FONT_STYLE_MODIFER_NAME SimSun"/>
    <w:unhideWhenUsed/>
    <w:uiPriority w:val="99"/>
    <w:rPr>
      <w:rFonts w:hint="eastAsia" w:ascii="宋体" w:hAnsi="宋体" w:eastAsia="宋体"/>
      <w:sz w:val="21"/>
      <w:lang w:val="en-US" w:eastAsia="en-US"/>
    </w:rPr>
  </w:style>
  <w:style w:type="character" w:customStyle="1" w:styleId="30">
    <w:name w:val="MSG_EN_FONT_STYLE_NAME_TEMPLATE_ROLE_NUMBER MSG_EN_FONT_STYLE_NAME_BY_ROLE_TEXT 2 + MSG_EN_FONT_STYLE_MODIFER_NAME Times New Roman"/>
    <w:aliases w:val="MSG_EN_FONT_STYLE_MODIFER_SIZE 11.5"/>
    <w:unhideWhenUsed/>
    <w:uiPriority w:val="99"/>
    <w:rPr>
      <w:rFonts w:hint="eastAsia" w:ascii="Times New Roman" w:hAnsi="Times New Roman" w:eastAsia="Times New Roman"/>
      <w:b/>
      <w:sz w:val="23"/>
      <w:lang w:val="en-US" w:eastAsia="en-US"/>
    </w:rPr>
  </w:style>
  <w:style w:type="character" w:customStyle="1" w:styleId="31">
    <w:name w:val="MSG_EN_FONT_STYLE_NAME_TEMPLATE_ROLE_NUMBER MSG_EN_FONT_STYLE_NAME_BY_ROLE_TEXT 2 + MSG_EN_FONT_STYLE_MODIFER_NAME Times New Roman"/>
    <w:unhideWhenUsed/>
    <w:uiPriority w:val="99"/>
    <w:rPr>
      <w:rFonts w:hint="eastAsia" w:ascii="Times New Roman" w:hAnsi="Times New Roman" w:eastAsia="Times New Roman"/>
      <w:b/>
      <w:sz w:val="23"/>
      <w:lang w:val="en-US" w:eastAsia="en-US"/>
    </w:rPr>
  </w:style>
  <w:style w:type="character" w:customStyle="1" w:styleId="32">
    <w:name w:val="MSG_EN_FONT_STYLE_NAME_TEMPLATE_ROLE_LEVEL_NUMBER MSG_EN_FONT_STYLE_NAME_BY_ROLE_HEADING 2 2_"/>
    <w:link w:val="18"/>
    <w:unhideWhenUsed/>
    <w:uiPriority w:val="99"/>
    <w:rPr>
      <w:rFonts w:hint="eastAsia" w:ascii="宋体" w:hAnsi="宋体" w:eastAsia="宋体"/>
      <w:sz w:val="21"/>
    </w:rPr>
  </w:style>
  <w:style w:type="character" w:customStyle="1" w:styleId="33">
    <w:name w:val="MSG_EN_FONT_STYLE_NAME_TEMPLATE_ROLE MSG_EN_FONT_STYLE_NAME_BY_ROLE_TEXT + MSG_EN_FONT_STYLE_MODIFER_BOLD"/>
    <w:unhideWhenUsed/>
    <w:uiPriority w:val="99"/>
    <w:rPr>
      <w:rFonts w:hint="eastAsia" w:ascii="宋体" w:hAnsi="宋体" w:eastAsia="宋体"/>
      <w:b/>
      <w:sz w:val="21"/>
    </w:rPr>
  </w:style>
  <w:style w:type="character" w:customStyle="1" w:styleId="34">
    <w:name w:val="正文文本 字符"/>
    <w:link w:val="5"/>
    <w:uiPriority w:val="99"/>
    <w:rPr>
      <w:rFonts w:hint="default" w:ascii="Tahoma" w:hAnsi="Tahoma" w:eastAsia="Times New Roman"/>
      <w:color w:val="000000"/>
      <w:sz w:val="24"/>
      <w:lang w:val="zh-CN"/>
    </w:rPr>
  </w:style>
  <w:style w:type="character" w:customStyle="1" w:styleId="35">
    <w:name w:val="apple-style-span"/>
    <w:unhideWhenUsed/>
    <w:uiPriority w:val="0"/>
    <w:rPr>
      <w:rFonts w:hint="default" w:ascii="Tahoma" w:hAnsi="Tahoma" w:eastAsia="宋体"/>
      <w:sz w:val="24"/>
    </w:rPr>
  </w:style>
  <w:style w:type="character" w:customStyle="1" w:styleId="36">
    <w:name w:val="MSG_EN_FONT_STYLE_NAME_TEMPLATE_ROLE_NUMBER MSG_EN_FONT_STYLE_NAME_BY_ROLE_TEXT 2 + MSG_EN_FONT_STYLE_MODIFER_NOT_BOLD"/>
    <w:unhideWhenUsed/>
    <w:uiPriority w:val="99"/>
    <w:rPr>
      <w:rFonts w:hint="eastAsia" w:ascii="宋体" w:hAnsi="宋体" w:eastAsia="宋体"/>
      <w:sz w:val="21"/>
    </w:rPr>
  </w:style>
  <w:style w:type="character" w:customStyle="1" w:styleId="37">
    <w:name w:val="emailstyle19"/>
    <w:uiPriority w:val="0"/>
    <w:rPr>
      <w:rFonts w:hint="default" w:ascii="Calibri" w:hAnsi="Calibri" w:eastAsia="宋体" w:cs="Calibri"/>
      <w:color w:val="1F497D"/>
      <w:sz w:val="24"/>
    </w:rPr>
  </w:style>
  <w:style w:type="character" w:customStyle="1" w:styleId="38">
    <w:name w:val="MSG_EN_FONT_STYLE_NAME_TEMPLATE_ROLE_NUMBER MSG_EN_FONT_STYLE_NAME_BY_ROLE_TEXT 2 Exact"/>
    <w:unhideWhenUsed/>
    <w:uiPriority w:val="99"/>
    <w:rPr>
      <w:rFonts w:hint="eastAsia" w:ascii="宋体" w:hAnsi="宋体" w:eastAsia="宋体"/>
      <w:b/>
      <w:sz w:val="21"/>
    </w:rPr>
  </w:style>
  <w:style w:type="character" w:customStyle="1" w:styleId="39">
    <w:name w:val="页眉 字符"/>
    <w:link w:val="9"/>
    <w:uiPriority w:val="99"/>
    <w:rPr>
      <w:rFonts w:hint="default" w:ascii="Tahoma" w:hAnsi="Tahoma" w:eastAsia="Times New Roman"/>
      <w:color w:val="000000"/>
      <w:sz w:val="18"/>
      <w:szCs w:val="18"/>
      <w:lang w:val="zh-CN"/>
    </w:rPr>
  </w:style>
  <w:style w:type="character" w:customStyle="1" w:styleId="40">
    <w:name w:val="MSG_EN_FONT_STYLE_NAME_TEMPLATE_ROLE_NUMBER MSG_EN_FONT_STYLE_NAME_BY_ROLE_TEXT 3_"/>
    <w:link w:val="20"/>
    <w:unhideWhenUsed/>
    <w:uiPriority w:val="99"/>
    <w:rPr>
      <w:rFonts w:hint="eastAsia" w:ascii="Times New Roman" w:hAnsi="Times New Roman" w:eastAsia="Times New Roman"/>
      <w:sz w:val="21"/>
      <w:lang w:val="en-US" w:eastAsia="en-US"/>
    </w:rPr>
  </w:style>
  <w:style w:type="character" w:customStyle="1" w:styleId="41">
    <w:name w:val="MSG_EN_FONT_STYLE_NAME_TEMPLATE_ROLE_LEVEL MSG_EN_FONT_STYLE_NAME_BY_ROLE_HEADING 2 + MSG_EN_FONT_STYLE_MODIFER_NOT_BOLD"/>
    <w:unhideWhenUsed/>
    <w:uiPriority w:val="99"/>
    <w:rPr>
      <w:rFonts w:hint="eastAsia" w:ascii="宋体" w:hAnsi="宋体" w:eastAsia="宋体"/>
      <w:sz w:val="21"/>
    </w:rPr>
  </w:style>
  <w:style w:type="character" w:customStyle="1" w:styleId="42">
    <w:name w:val="MSG_EN_FONT_STYLE_NAME_TEMPLATE_ROLE_LEVEL MSG_EN_FONT_STYLE_NAME_BY_ROLE_HEADING 1_"/>
    <w:link w:val="22"/>
    <w:unhideWhenUsed/>
    <w:uiPriority w:val="99"/>
    <w:rPr>
      <w:rFonts w:hint="eastAsia" w:ascii="宋体" w:hAnsi="宋体" w:eastAsia="宋体"/>
      <w:b/>
      <w:sz w:val="30"/>
    </w:rPr>
  </w:style>
  <w:style w:type="character" w:customStyle="1" w:styleId="43">
    <w:name w:val="MSG_EN_FONT_STYLE_NAME_TEMPLATE_ROLE MSG_EN_FONT_STYLE_NAME_BY_ROLE_TEXT + MSG_EN_FONT_STYLE_MODIFER_NAME Times New Roman"/>
    <w:aliases w:val="MSG_EN_FONT_STYLE_MODIFER_SIZE 10"/>
    <w:unhideWhenUsed/>
    <w:uiPriority w:val="99"/>
    <w:rPr>
      <w:rFonts w:hint="eastAsia" w:ascii="Times New Roman" w:hAnsi="Times New Roman" w:eastAsia="Times New Roman"/>
      <w:sz w:val="20"/>
    </w:rPr>
  </w:style>
  <w:style w:type="character" w:customStyle="1" w:styleId="44">
    <w:name w:val="MSG_EN_FONT_STYLE_NAME_TEMPLATE_ROLE MSG_EN_FONT_STYLE_NAME_BY_ROLE_TEXT_"/>
    <w:link w:val="19"/>
    <w:unhideWhenUsed/>
    <w:uiPriority w:val="99"/>
    <w:rPr>
      <w:rFonts w:hint="eastAsia" w:ascii="宋体" w:hAnsi="宋体" w:eastAsia="宋体"/>
      <w:sz w:val="21"/>
    </w:rPr>
  </w:style>
  <w:style w:type="character" w:customStyle="1" w:styleId="45">
    <w:name w:val="MSG_EN_FONT_STYLE_NAME_TEMPLATE_ROLE MSG_EN_FONT_STYLE_NAME_BY_ROLE_TEXT + MSG_EN_FONT_STYLE_MODIFER_NAME Times New Roman"/>
    <w:unhideWhenUsed/>
    <w:uiPriority w:val="99"/>
    <w:rPr>
      <w:rFonts w:hint="eastAsia" w:ascii="Times New Roman" w:hAnsi="Times New Roman" w:eastAsia="Times New Roman"/>
      <w:sz w:val="21"/>
    </w:rPr>
  </w:style>
  <w:style w:type="character" w:customStyle="1" w:styleId="46">
    <w:name w:val="批注文字 字符"/>
    <w:link w:val="3"/>
    <w:uiPriority w:val="99"/>
    <w:rPr>
      <w:rFonts w:hint="default" w:ascii="Tahoma" w:hAnsi="Tahoma" w:eastAsia="Times New Roman"/>
      <w:color w:val="000000"/>
      <w:sz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596</Words>
  <Characters>3400</Characters>
  <Lines>28</Lines>
  <Paragraphs>7</Paragraphs>
  <ScaleCrop>false</ScaleCrop>
  <LinksUpToDate>false</LinksUpToDate>
  <CharactersWithSpaces>3989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2020-09-21T11:09:00Z</dcterms:created>
  <dc:creator>zhouhuaqun</dc:creator>
  <cp:lastModifiedBy>fuxiao</cp:lastModifiedBy>
  <dcterms:modified xsi:type="dcterms:W3CDTF">2021-11-12T02:42:16Z</dcterms:modified>
  <dc:title>华安财产保险有限公司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