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spacing w:beforeLines="0" w:afterLines="0" w:line="360" w:lineRule="auto"/>
        <w:jc w:val="center"/>
        <w:rPr>
          <w:rFonts w:hint="eastAsia" w:ascii="宋体" w:hAnsi="宋体"/>
          <w:sz w:val="28"/>
          <w:szCs w:val="28"/>
        </w:rPr>
      </w:pPr>
      <w:r>
        <w:rPr>
          <w:rFonts w:hint="eastAsia" w:ascii="宋体" w:hAnsi="宋体"/>
          <w:sz w:val="28"/>
          <w:szCs w:val="28"/>
        </w:rPr>
        <w:t>太平财产保险有限公司</w:t>
      </w:r>
    </w:p>
    <w:p>
      <w:pPr>
        <w:pStyle w:val="25"/>
        <w:spacing w:beforeLines="0" w:after="0" w:afterLines="0" w:line="360" w:lineRule="auto"/>
        <w:jc w:val="center"/>
        <w:rPr>
          <w:rFonts w:hint="eastAsia" w:ascii="宋体" w:hAnsi="宋体"/>
          <w:sz w:val="28"/>
          <w:szCs w:val="28"/>
        </w:rPr>
      </w:pPr>
      <w:r>
        <w:rPr>
          <w:rFonts w:hint="eastAsia" w:ascii="宋体" w:hAnsi="宋体"/>
          <w:sz w:val="28"/>
          <w:szCs w:val="28"/>
        </w:rPr>
        <w:t>乐悠悠商务旅行意外伤害保险</w:t>
      </w:r>
      <w:r>
        <w:rPr>
          <w:rFonts w:hint="eastAsia" w:ascii="宋体" w:hAnsi="宋体"/>
          <w:sz w:val="28"/>
          <w:szCs w:val="28"/>
          <w:lang w:eastAsia="zh-CN"/>
        </w:rPr>
        <w:t>（</w:t>
      </w:r>
      <w:r>
        <w:rPr>
          <w:rFonts w:hint="eastAsia" w:ascii="宋体" w:hAnsi="宋体"/>
          <w:sz w:val="28"/>
          <w:szCs w:val="28"/>
          <w:lang w:val="en-US" w:eastAsia="zh-CN"/>
        </w:rPr>
        <w:t>2022版）</w:t>
      </w:r>
      <w:r>
        <w:rPr>
          <w:rFonts w:hint="eastAsia" w:ascii="宋体" w:hAnsi="宋体"/>
          <w:sz w:val="28"/>
          <w:szCs w:val="28"/>
        </w:rPr>
        <w:t>条款</w:t>
      </w:r>
    </w:p>
    <w:p>
      <w:pPr>
        <w:pStyle w:val="25"/>
        <w:spacing w:beforeLines="0" w:afterLines="0" w:line="36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总则</w:t>
      </w:r>
    </w:p>
    <w:p>
      <w:pPr>
        <w:pStyle w:val="25"/>
        <w:numPr>
          <w:ilvl w:val="-1"/>
          <w:numId w:val="0"/>
        </w:numPr>
        <w:tabs>
          <w:tab w:val="clear" w:pos="840"/>
        </w:tabs>
        <w:spacing w:beforeLines="0" w:afterLines="0" w:line="360" w:lineRule="auto"/>
        <w:ind w:firstLine="422" w:firstLineChars="200"/>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bCs/>
          <w:szCs w:val="21"/>
          <w:lang w:val="en-US" w:eastAsia="zh-CN"/>
        </w:rPr>
        <w:t>第一条</w:t>
      </w:r>
      <w:r>
        <w:rPr>
          <w:rFonts w:hint="eastAsia" w:asciiTheme="minorEastAsia" w:hAnsiTheme="minorEastAsia" w:eastAsiaTheme="minorEastAsia" w:cstheme="minorEastAsia"/>
          <w:b/>
          <w:szCs w:val="21"/>
          <w:lang w:val="en-US" w:eastAsia="zh-CN"/>
        </w:rPr>
        <w:t xml:space="preserve"> </w:t>
      </w:r>
      <w:r>
        <w:rPr>
          <w:rFonts w:hint="eastAsia" w:asciiTheme="minorEastAsia" w:hAnsiTheme="minorEastAsia" w:eastAsiaTheme="minorEastAsia" w:cstheme="minorEastAsia"/>
          <w:b w:val="0"/>
          <w:bCs/>
          <w:szCs w:val="21"/>
        </w:rPr>
        <w:t>本保险合同由保险条款、投保单、保险单或其他保险凭证、批单等组成。凡涉及本保险合同的约定，均应采用书面形式。</w:t>
      </w:r>
    </w:p>
    <w:p>
      <w:pPr>
        <w:pStyle w:val="25"/>
        <w:numPr>
          <w:ilvl w:val="-1"/>
          <w:numId w:val="0"/>
        </w:numPr>
        <w:tabs>
          <w:tab w:val="clear" w:pos="840"/>
        </w:tabs>
        <w:spacing w:beforeLines="0" w:afterLines="0" w:line="360" w:lineRule="auto"/>
        <w:ind w:firstLine="422" w:firstLineChars="200"/>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szCs w:val="21"/>
          <w:lang w:val="en-US" w:eastAsia="zh-CN"/>
        </w:rPr>
        <w:t xml:space="preserve">第二条 </w:t>
      </w:r>
      <w:r>
        <w:rPr>
          <w:rFonts w:hint="eastAsia" w:asciiTheme="minorEastAsia" w:hAnsiTheme="minorEastAsia" w:eastAsiaTheme="minorEastAsia" w:cstheme="minorEastAsia"/>
          <w:b w:val="0"/>
          <w:bCs/>
          <w:szCs w:val="21"/>
        </w:rPr>
        <w:t>凡年龄在16周岁至70周岁、身体健康、能正常工作或正常生活的自然人均可作为被保险人。</w:t>
      </w:r>
    </w:p>
    <w:p>
      <w:pPr>
        <w:pStyle w:val="25"/>
        <w:numPr>
          <w:ilvl w:val="-1"/>
          <w:numId w:val="0"/>
        </w:numPr>
        <w:tabs>
          <w:tab w:val="clear" w:pos="840"/>
        </w:tabs>
        <w:spacing w:beforeLines="0" w:afterLines="0" w:line="360" w:lineRule="auto"/>
        <w:ind w:firstLine="422" w:firstLineChars="200"/>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bCs/>
          <w:szCs w:val="21"/>
          <w:lang w:val="en-US" w:eastAsia="zh-CN"/>
        </w:rPr>
        <w:t>第三条</w:t>
      </w:r>
      <w:r>
        <w:rPr>
          <w:rFonts w:hint="eastAsia" w:asciiTheme="minorEastAsia" w:hAnsiTheme="minorEastAsia" w:eastAsiaTheme="minorEastAsia" w:cstheme="minorEastAsia"/>
          <w:b/>
          <w:szCs w:val="21"/>
          <w:lang w:val="en-US" w:eastAsia="zh-CN"/>
        </w:rPr>
        <w:t xml:space="preserve"> </w:t>
      </w:r>
      <w:r>
        <w:rPr>
          <w:rFonts w:hint="eastAsia" w:asciiTheme="minorEastAsia" w:hAnsiTheme="minorEastAsia" w:eastAsiaTheme="minorEastAsia" w:cstheme="minorEastAsia"/>
          <w:b w:val="0"/>
          <w:bCs/>
          <w:szCs w:val="21"/>
        </w:rPr>
        <w:t>具有完全民事行为能力的被保险人本人、对被保险人有保险利益的其他人可作为投保人；对被保险人有保险利益的机关、企业、事业单位和社会团体也可作为投保人。</w:t>
      </w:r>
    </w:p>
    <w:p>
      <w:pPr>
        <w:pStyle w:val="25"/>
        <w:numPr>
          <w:ilvl w:val="-1"/>
          <w:numId w:val="0"/>
        </w:numPr>
        <w:tabs>
          <w:tab w:val="clear" w:pos="840"/>
        </w:tabs>
        <w:spacing w:beforeLines="0" w:afterLines="0" w:line="360" w:lineRule="auto"/>
        <w:ind w:firstLine="422" w:firstLineChars="200"/>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bCs/>
          <w:szCs w:val="21"/>
          <w:lang w:val="en-US" w:eastAsia="zh-CN"/>
        </w:rPr>
        <w:t>第四条</w:t>
      </w:r>
      <w:r>
        <w:rPr>
          <w:rFonts w:hint="eastAsia" w:asciiTheme="minorEastAsia" w:hAnsiTheme="minorEastAsia" w:eastAsiaTheme="minorEastAsia" w:cstheme="minorEastAsia"/>
          <w:b/>
          <w:szCs w:val="21"/>
          <w:lang w:val="en-US" w:eastAsia="zh-CN"/>
        </w:rPr>
        <w:t xml:space="preserve"> </w:t>
      </w:r>
      <w:r>
        <w:rPr>
          <w:rFonts w:hint="eastAsia" w:asciiTheme="minorEastAsia" w:hAnsiTheme="minorEastAsia" w:eastAsiaTheme="minorEastAsia" w:cstheme="minorEastAsia"/>
          <w:b w:val="0"/>
          <w:bCs/>
          <w:szCs w:val="21"/>
        </w:rPr>
        <w:t>本保险合同的受益人包括：</w:t>
      </w:r>
    </w:p>
    <w:p>
      <w:pPr>
        <w:pStyle w:val="25"/>
        <w:spacing w:beforeLines="0" w:afterLines="0" w:line="360" w:lineRule="auto"/>
        <w:ind w:firstLine="420" w:firstLineChars="200"/>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（一）意外身故保险金受益人</w:t>
      </w:r>
    </w:p>
    <w:p>
      <w:pPr>
        <w:pStyle w:val="24"/>
        <w:spacing w:beforeLines="0" w:afterLines="0" w:line="360" w:lineRule="auto"/>
        <w:ind w:left="0" w:leftChars="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订立本保险合同时，被保险人或投保人可指定一人或数人为身故保险金受益人。身故保险金受益人为数人时，应确定其受益顺序和受益份额；未确定受益份额的，各身故保险金受益人按照相等份额享有受益权。</w:t>
      </w:r>
    </w:p>
    <w:p>
      <w:pPr>
        <w:pStyle w:val="25"/>
        <w:tabs>
          <w:tab w:val="clear" w:pos="840"/>
        </w:tabs>
        <w:spacing w:beforeLines="0" w:afterLines="0" w:line="360" w:lineRule="auto"/>
        <w:ind w:firstLine="420" w:firstLineChars="200"/>
        <w:rPr>
          <w:rFonts w:hint="eastAsia" w:asciiTheme="minorEastAsia" w:hAnsiTheme="minorEastAsia" w:eastAsiaTheme="minorEastAsia" w:cstheme="minorEastAsia"/>
          <w:b w:val="0"/>
          <w:szCs w:val="21"/>
        </w:rPr>
      </w:pPr>
      <w:r>
        <w:rPr>
          <w:rFonts w:hint="eastAsia" w:asciiTheme="minorEastAsia" w:hAnsiTheme="minorEastAsia" w:eastAsiaTheme="minorEastAsia" w:cstheme="minorEastAsia"/>
          <w:b w:val="0"/>
          <w:szCs w:val="21"/>
        </w:rPr>
        <w:t>被保险人死亡后，有下列情形之一的，保险金作为被保险人的遗产，由保险人依照《中华人民共和国</w:t>
      </w:r>
      <w:r>
        <w:rPr>
          <w:rFonts w:hint="eastAsia" w:asciiTheme="minorEastAsia" w:hAnsiTheme="minorEastAsia" w:eastAsiaTheme="minorEastAsia" w:cstheme="minorEastAsia"/>
          <w:b w:val="0"/>
          <w:szCs w:val="21"/>
          <w:lang w:val="en-US" w:eastAsia="zh-CN"/>
        </w:rPr>
        <w:t>民法典</w:t>
      </w:r>
      <w:r>
        <w:rPr>
          <w:rFonts w:hint="eastAsia" w:asciiTheme="minorEastAsia" w:hAnsiTheme="minorEastAsia" w:eastAsiaTheme="minorEastAsia" w:cstheme="minorEastAsia"/>
          <w:b w:val="0"/>
          <w:szCs w:val="21"/>
        </w:rPr>
        <w:t>》的规定履行给付保险金的义务：</w:t>
      </w:r>
    </w:p>
    <w:p>
      <w:pPr>
        <w:pStyle w:val="24"/>
        <w:spacing w:beforeLines="0" w:afterLines="0" w:line="360" w:lineRule="auto"/>
        <w:ind w:left="0" w:leftChars="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1、没有指定受益人，或者受益人指定不明无法确定的；</w:t>
      </w:r>
    </w:p>
    <w:p>
      <w:pPr>
        <w:pStyle w:val="24"/>
        <w:spacing w:beforeLines="0" w:afterLines="0" w:line="360" w:lineRule="auto"/>
        <w:ind w:left="0" w:leftChars="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2、受益人先于被保险人死亡，没有其他受益人的；</w:t>
      </w:r>
    </w:p>
    <w:p>
      <w:pPr>
        <w:pStyle w:val="24"/>
        <w:spacing w:beforeLines="0" w:afterLines="0" w:line="360" w:lineRule="auto"/>
        <w:ind w:left="0" w:leftChars="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3、受益人依法丧失受益权或者放弃受益权，没有其他受益人的。</w:t>
      </w:r>
    </w:p>
    <w:p>
      <w:pPr>
        <w:pStyle w:val="24"/>
        <w:spacing w:beforeLines="0" w:afterLines="0" w:line="360" w:lineRule="auto"/>
        <w:ind w:left="0" w:leftChars="0" w:firstLine="0"/>
        <w:rPr>
          <w:rStyle w:val="77"/>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受益人与被保险人在同一事件中死亡，且不能确定死亡先后顺序的，推定受益人死亡在先。</w:t>
      </w:r>
    </w:p>
    <w:p>
      <w:pPr>
        <w:pStyle w:val="24"/>
        <w:spacing w:beforeLines="0" w:afterLines="0" w:line="360" w:lineRule="auto"/>
        <w:ind w:left="0" w:leftChars="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被保险人或投保人可以变更身故保险金受益人，但需书面通知保险人，由保险人在本保险合同上批注。</w:t>
      </w:r>
    </w:p>
    <w:p>
      <w:pPr>
        <w:pStyle w:val="24"/>
        <w:spacing w:beforeLines="0" w:afterLines="0" w:line="360" w:lineRule="auto"/>
        <w:ind w:left="0" w:leftChars="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投保人指定或变更身故保险金受益人的，应经被保险人书面同意。被保险人为无民事行为能力人或限制民事行为能力人的，应由其监护人指定或变更身故保险金受益人。</w:t>
      </w:r>
    </w:p>
    <w:p>
      <w:pPr>
        <w:pStyle w:val="24"/>
        <w:numPr>
          <w:ilvl w:val="-1"/>
          <w:numId w:val="0"/>
        </w:numPr>
        <w:spacing w:beforeLines="0" w:afterLines="0" w:line="360" w:lineRule="auto"/>
        <w:ind w:left="0" w:leftChars="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二</w:t>
      </w:r>
      <w:bookmarkStart w:id="0" w:name="_GoBack"/>
      <w:bookmarkEnd w:id="0"/>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意外</w:t>
      </w:r>
      <w:r>
        <w:rPr>
          <w:rFonts w:hint="eastAsia" w:asciiTheme="minorEastAsia" w:hAnsiTheme="minorEastAsia" w:eastAsiaTheme="minorEastAsia" w:cstheme="minorEastAsia"/>
          <w:szCs w:val="21"/>
          <w:lang w:val="en-US" w:eastAsia="zh-CN"/>
        </w:rPr>
        <w:t>伤残</w:t>
      </w:r>
      <w:r>
        <w:rPr>
          <w:rFonts w:hint="eastAsia" w:asciiTheme="minorEastAsia" w:hAnsiTheme="minorEastAsia" w:eastAsiaTheme="minorEastAsia" w:cstheme="minorEastAsia"/>
          <w:szCs w:val="21"/>
        </w:rPr>
        <w:t>保险金受益人</w:t>
      </w:r>
    </w:p>
    <w:p>
      <w:pPr>
        <w:pStyle w:val="24"/>
        <w:spacing w:beforeLines="0" w:afterLines="0" w:line="360" w:lineRule="auto"/>
        <w:ind w:left="0" w:leftChars="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除另有约定外，本保险合同的意外</w:t>
      </w:r>
      <w:r>
        <w:rPr>
          <w:rFonts w:hint="eastAsia" w:asciiTheme="minorEastAsia" w:hAnsiTheme="minorEastAsia" w:eastAsiaTheme="minorEastAsia" w:cstheme="minorEastAsia"/>
          <w:szCs w:val="21"/>
          <w:lang w:eastAsia="zh-CN"/>
        </w:rPr>
        <w:t>伤残保险金</w:t>
      </w:r>
      <w:r>
        <w:rPr>
          <w:rFonts w:hint="eastAsia" w:asciiTheme="minorEastAsia" w:hAnsiTheme="minorEastAsia" w:eastAsiaTheme="minorEastAsia" w:cstheme="minorEastAsia"/>
          <w:szCs w:val="21"/>
        </w:rPr>
        <w:t>受益人为被保险人本人。</w:t>
      </w:r>
    </w:p>
    <w:p>
      <w:pPr>
        <w:pStyle w:val="24"/>
        <w:spacing w:beforeLines="0" w:afterLines="0" w:line="360" w:lineRule="auto"/>
        <w:ind w:left="0" w:leftChars="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受益人故意造成</w:t>
      </w:r>
      <w:r>
        <w:rPr>
          <w:rFonts w:hint="eastAsia" w:asciiTheme="minorEastAsia" w:hAnsiTheme="minorEastAsia" w:eastAsiaTheme="minorEastAsia" w:cstheme="minorEastAsia"/>
          <w:b/>
          <w:bCs/>
          <w:szCs w:val="21"/>
          <w:lang w:val="en-US" w:eastAsia="zh-CN"/>
        </w:rPr>
        <w:t>保险事故发生</w:t>
      </w:r>
      <w:r>
        <w:rPr>
          <w:rFonts w:hint="eastAsia" w:asciiTheme="minorEastAsia" w:hAnsiTheme="minorEastAsia" w:eastAsiaTheme="minorEastAsia" w:cstheme="minorEastAsia"/>
          <w:b/>
          <w:bCs/>
          <w:szCs w:val="21"/>
        </w:rPr>
        <w:t>的，或者故意杀害被保险人未遂的，该受益人丧失受益权。</w:t>
      </w:r>
    </w:p>
    <w:p>
      <w:pPr>
        <w:pStyle w:val="25"/>
        <w:spacing w:beforeLines="0" w:afterLines="0" w:line="360" w:lineRule="auto"/>
        <w:ind w:firstLine="0" w:firstLineChars="0"/>
        <w:jc w:val="center"/>
        <w:rPr>
          <w:rFonts w:hint="eastAsia" w:asciiTheme="minorEastAsia" w:hAnsiTheme="minorEastAsia" w:eastAsiaTheme="minorEastAsia" w:cstheme="minorEastAsia"/>
          <w:b w:val="0"/>
          <w:szCs w:val="21"/>
        </w:rPr>
      </w:pPr>
      <w:r>
        <w:rPr>
          <w:rFonts w:hint="eastAsia" w:asciiTheme="minorEastAsia" w:hAnsiTheme="minorEastAsia" w:eastAsiaTheme="minorEastAsia" w:cstheme="minorEastAsia"/>
          <w:szCs w:val="21"/>
        </w:rPr>
        <w:t>保险责任</w:t>
      </w:r>
    </w:p>
    <w:p>
      <w:pPr>
        <w:pStyle w:val="25"/>
        <w:numPr>
          <w:ilvl w:val="-1"/>
          <w:numId w:val="0"/>
        </w:numPr>
        <w:tabs>
          <w:tab w:val="clear" w:pos="840"/>
        </w:tabs>
        <w:spacing w:beforeLines="0" w:afterLines="0" w:line="360" w:lineRule="auto"/>
        <w:ind w:firstLine="422" w:firstLineChars="200"/>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bCs/>
          <w:szCs w:val="21"/>
          <w:lang w:val="en-US" w:eastAsia="zh-CN"/>
        </w:rPr>
        <w:t>第五条</w:t>
      </w:r>
      <w:r>
        <w:rPr>
          <w:rFonts w:hint="eastAsia" w:asciiTheme="minorEastAsia" w:hAnsiTheme="minorEastAsia" w:eastAsiaTheme="minorEastAsia" w:cstheme="minorEastAsia"/>
          <w:b/>
          <w:szCs w:val="21"/>
          <w:lang w:val="en-US" w:eastAsia="zh-CN"/>
        </w:rPr>
        <w:t xml:space="preserve"> </w:t>
      </w:r>
      <w:r>
        <w:rPr>
          <w:rFonts w:hint="eastAsia" w:asciiTheme="minorEastAsia" w:hAnsiTheme="minorEastAsia" w:eastAsiaTheme="minorEastAsia" w:cstheme="minorEastAsia"/>
          <w:b w:val="0"/>
          <w:bCs/>
          <w:szCs w:val="21"/>
        </w:rPr>
        <w:t>在保险期间内，被保险人持有有效证件在</w:t>
      </w:r>
      <w:r>
        <w:rPr>
          <w:rFonts w:hint="eastAsia" w:asciiTheme="minorEastAsia" w:hAnsiTheme="minorEastAsia" w:eastAsiaTheme="minorEastAsia" w:cstheme="minorEastAsia"/>
          <w:b w:val="0"/>
          <w:bCs/>
          <w:szCs w:val="21"/>
          <w:lang w:val="en-US" w:eastAsia="zh-CN"/>
        </w:rPr>
        <w:t>商务</w:t>
      </w:r>
      <w:r>
        <w:rPr>
          <w:rFonts w:hint="eastAsia" w:asciiTheme="minorEastAsia" w:hAnsiTheme="minorEastAsia" w:eastAsiaTheme="minorEastAsia" w:cstheme="minorEastAsia"/>
          <w:b w:val="0"/>
          <w:bCs/>
          <w:szCs w:val="21"/>
        </w:rPr>
        <w:t>旅行期间，因遭受意外伤害事故导致身故、伤残的，保险人依照下列约定给付保险金，且给付各项保险金之和不超过该被保险人的保险金额。</w:t>
      </w:r>
    </w:p>
    <w:p>
      <w:pPr>
        <w:pStyle w:val="25"/>
        <w:spacing w:beforeLines="0" w:afterLines="0" w:line="360" w:lineRule="auto"/>
        <w:ind w:firstLine="420" w:firstLineChars="200"/>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（一）意外身故保险责任</w:t>
      </w:r>
    </w:p>
    <w:p>
      <w:pPr>
        <w:pStyle w:val="25"/>
        <w:spacing w:beforeLines="0" w:afterLines="0" w:line="360" w:lineRule="auto"/>
        <w:ind w:firstLine="420" w:firstLineChars="200"/>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在保险期间内，被保险人遭受意外伤害事故，并自事故发生之日起180日内因该事故身故的，保险人按保险金额给付身故保险金，对该被保险人的保险责任终止。</w:t>
      </w:r>
    </w:p>
    <w:p>
      <w:pPr>
        <w:pStyle w:val="25"/>
        <w:spacing w:beforeLines="0" w:afterLines="0" w:line="360" w:lineRule="auto"/>
        <w:ind w:firstLine="420" w:firstLineChars="200"/>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被保险人因遭受意外伤害事故且自该事故发生日起下落不明，后经人民法院宣告死亡的，保险人按保险金额给付身故保险金。但若被保险人被宣告死亡后生还的，保险金受领人应于知道或应当知道被保险人生还后30日内退还保险人给付的身故保险金。</w:t>
      </w:r>
    </w:p>
    <w:p>
      <w:pPr>
        <w:pStyle w:val="25"/>
        <w:spacing w:beforeLines="0" w:afterLines="0" w:line="360" w:lineRule="auto"/>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被保险人身故前保险人已给付本条第（二）款约定的意外伤残保险金的，身故保险金应扣除已给付的保险金。</w:t>
      </w:r>
    </w:p>
    <w:p>
      <w:pPr>
        <w:pStyle w:val="24"/>
        <w:spacing w:beforeLines="0" w:afterLines="0" w:line="360" w:lineRule="auto"/>
        <w:ind w:left="0" w:leftChars="0" w:firstLine="0"/>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（二）意外伤残保险责任</w:t>
      </w:r>
    </w:p>
    <w:p>
      <w:pPr>
        <w:pStyle w:val="24"/>
        <w:spacing w:beforeLines="0" w:afterLines="0" w:line="360" w:lineRule="auto"/>
        <w:ind w:left="0" w:leftChars="0" w:firstLine="0"/>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在保险期间内，被保险人遭受意外伤害事故，并自该事故发生之日起180日内因该事故造成《人身保险伤残评定标准及代码》（标准编号为JR/T 0083－2013，以下简称《伤残评定行业标准》） 所列伤残之一的，保险人根据《残疾伤残评定行业标准》中伤残等级对应的给付比例乘以保险金额给付残疾伤残保险金（即与人身保险伤残程度等级相对应的保险金给付比例分为十档，伤残程度第一级对应的保险金给付比例为100%，伤残程度第十级对应的保险金给付比例为10%，每级相差10%。下同）。如第180日治疗仍未结束的，按当日的身体情况进行伤残鉴定，并据此给付伤残保险金。</w:t>
      </w:r>
    </w:p>
    <w:p>
      <w:pPr>
        <w:pStyle w:val="25"/>
        <w:spacing w:beforeLines="0" w:afterLines="0" w:line="360" w:lineRule="auto"/>
        <w:ind w:firstLine="420" w:firstLineChars="200"/>
        <w:jc w:val="both"/>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 xml:space="preserve">1、被保险人因同一意外伤害事故导致两处或两处以上伤残时，如几处伤残等级不同，保险人仅给付其中给付比例最高一项的伤残保险金；如两处或两处以上伤残等级相同，保险人在原评定基础上晋升一级给付伤残保险金，最高晋升至第一级。同一部位和性质的伤残，仅按一处伤残进行评定。 </w:t>
      </w:r>
    </w:p>
    <w:p>
      <w:pPr>
        <w:pStyle w:val="25"/>
        <w:spacing w:beforeLines="0" w:afterLines="0" w:line="360" w:lineRule="auto"/>
        <w:ind w:firstLine="420" w:firstLineChars="200"/>
        <w:jc w:val="both"/>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2、被保险人如在本次意外伤害事故之前已有伤残，保险人按合并后的伤残程度在《伤残评定行业标准》中所对应的给付比例给付伤残保险金，</w:t>
      </w:r>
      <w:r>
        <w:rPr>
          <w:rFonts w:hint="eastAsia" w:asciiTheme="minorEastAsia" w:hAnsiTheme="minorEastAsia" w:eastAsiaTheme="minorEastAsia" w:cstheme="minorEastAsia"/>
          <w:b/>
          <w:bCs w:val="0"/>
          <w:szCs w:val="21"/>
        </w:rPr>
        <w:t>但应扣除原有伤残程度在《伤残评定行业标准》所对应的伤残保险金。</w:t>
      </w:r>
    </w:p>
    <w:p>
      <w:pPr>
        <w:pStyle w:val="25"/>
        <w:spacing w:beforeLines="0" w:afterLines="0" w:line="36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责任免除</w:t>
      </w:r>
    </w:p>
    <w:p>
      <w:pPr>
        <w:pStyle w:val="25"/>
        <w:numPr>
          <w:ilvl w:val="-1"/>
          <w:numId w:val="0"/>
        </w:numPr>
        <w:tabs>
          <w:tab w:val="clear" w:pos="840"/>
        </w:tabs>
        <w:spacing w:beforeLines="0" w:afterLines="0" w:line="360" w:lineRule="auto"/>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 xml:space="preserve">第六条 </w:t>
      </w:r>
      <w:r>
        <w:rPr>
          <w:rFonts w:hint="eastAsia" w:asciiTheme="minorEastAsia" w:hAnsiTheme="minorEastAsia" w:eastAsiaTheme="minorEastAsia" w:cstheme="minorEastAsia"/>
          <w:szCs w:val="21"/>
        </w:rPr>
        <w:t>因下列原因造成被保险人身故、伤残的，保险人不承担给付保险金责任：</w:t>
      </w:r>
    </w:p>
    <w:p>
      <w:pPr>
        <w:pStyle w:val="25"/>
        <w:numPr>
          <w:ilvl w:val="-1"/>
          <w:numId w:val="0"/>
        </w:numPr>
        <w:tabs>
          <w:tab w:val="left" w:pos="1260"/>
          <w:tab w:val="clear" w:pos="840"/>
        </w:tabs>
        <w:spacing w:beforeLines="0" w:afterLines="0" w:line="360" w:lineRule="auto"/>
        <w:ind w:left="0"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一</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投保人的故意行为；</w:t>
      </w:r>
    </w:p>
    <w:p>
      <w:pPr>
        <w:pStyle w:val="25"/>
        <w:numPr>
          <w:ilvl w:val="-1"/>
          <w:numId w:val="0"/>
        </w:numPr>
        <w:tabs>
          <w:tab w:val="left" w:pos="1260"/>
          <w:tab w:val="clear" w:pos="840"/>
        </w:tabs>
        <w:spacing w:beforeLines="0" w:afterLines="0" w:line="360" w:lineRule="auto"/>
        <w:ind w:left="0"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二</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被保险人自致伤害或自杀，但被保险人自杀时为无民事行为能力人的除外；</w:t>
      </w:r>
    </w:p>
    <w:p>
      <w:pPr>
        <w:pStyle w:val="25"/>
        <w:numPr>
          <w:ilvl w:val="-1"/>
          <w:numId w:val="0"/>
        </w:numPr>
        <w:tabs>
          <w:tab w:val="left" w:pos="1260"/>
          <w:tab w:val="clear" w:pos="840"/>
        </w:tabs>
        <w:spacing w:beforeLines="0" w:afterLines="0" w:line="360" w:lineRule="auto"/>
        <w:ind w:left="0"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三</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因被保险人挑衅或故意行为而导致的打斗、被袭击、被谋杀、殴斗；</w:t>
      </w:r>
    </w:p>
    <w:p>
      <w:pPr>
        <w:pStyle w:val="25"/>
        <w:numPr>
          <w:ilvl w:val="-1"/>
          <w:numId w:val="0"/>
        </w:numPr>
        <w:tabs>
          <w:tab w:val="left" w:pos="1260"/>
          <w:tab w:val="clear" w:pos="840"/>
        </w:tabs>
        <w:spacing w:beforeLines="0" w:afterLines="0" w:line="360" w:lineRule="auto"/>
        <w:ind w:left="0"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四</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被保险人妊娠（包括宫外孕）、流产（但因遭受意外伤害所致不在此限）、堕胎、安胎、分娩、疾病、药物过敏、食物中毒；</w:t>
      </w:r>
    </w:p>
    <w:p>
      <w:pPr>
        <w:pStyle w:val="25"/>
        <w:numPr>
          <w:ilvl w:val="-1"/>
          <w:numId w:val="0"/>
        </w:numPr>
        <w:tabs>
          <w:tab w:val="left" w:pos="1260"/>
          <w:tab w:val="clear" w:pos="840"/>
        </w:tabs>
        <w:spacing w:beforeLines="0" w:afterLines="0" w:line="360" w:lineRule="auto"/>
        <w:ind w:left="0"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五</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被保险人接受包括美容、整容、整容手术在内的任何医疗行为而造成的意外；</w:t>
      </w:r>
    </w:p>
    <w:p>
      <w:pPr>
        <w:pStyle w:val="25"/>
        <w:numPr>
          <w:ilvl w:val="-1"/>
          <w:numId w:val="0"/>
        </w:numPr>
        <w:tabs>
          <w:tab w:val="left" w:pos="1260"/>
          <w:tab w:val="clear" w:pos="840"/>
        </w:tabs>
        <w:spacing w:beforeLines="0" w:afterLines="0" w:line="360" w:lineRule="auto"/>
        <w:ind w:left="0"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六</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被保险人未遵医嘱服用、涂用、注射药物；</w:t>
      </w:r>
    </w:p>
    <w:p>
      <w:pPr>
        <w:pStyle w:val="25"/>
        <w:numPr>
          <w:ilvl w:val="-1"/>
          <w:numId w:val="0"/>
        </w:numPr>
        <w:tabs>
          <w:tab w:val="left" w:pos="1260"/>
          <w:tab w:val="clear" w:pos="840"/>
        </w:tabs>
        <w:spacing w:beforeLines="0" w:afterLines="0" w:line="360" w:lineRule="auto"/>
        <w:ind w:left="0"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七</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各类疾病，以及高原反应、中暑、猝死；</w:t>
      </w:r>
    </w:p>
    <w:p>
      <w:pPr>
        <w:pStyle w:val="25"/>
        <w:numPr>
          <w:ilvl w:val="-1"/>
          <w:numId w:val="0"/>
        </w:numPr>
        <w:tabs>
          <w:tab w:val="left" w:pos="1260"/>
          <w:tab w:val="clear" w:pos="840"/>
        </w:tabs>
        <w:spacing w:beforeLines="0" w:afterLines="0" w:line="360" w:lineRule="auto"/>
        <w:ind w:left="0"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八</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非因意外伤害导致的细菌或病毒感染；</w:t>
      </w:r>
    </w:p>
    <w:p>
      <w:pPr>
        <w:pStyle w:val="25"/>
        <w:numPr>
          <w:ilvl w:val="-1"/>
          <w:numId w:val="0"/>
        </w:numPr>
        <w:tabs>
          <w:tab w:val="left" w:pos="1260"/>
          <w:tab w:val="clear" w:pos="840"/>
        </w:tabs>
        <w:spacing w:beforeLines="0" w:afterLines="0" w:line="360" w:lineRule="auto"/>
        <w:ind w:left="0"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九</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任何生物、化学、原子能武器，原子能或核能装置所造成的爆炸、灼伤、污染 或辐射；</w:t>
      </w:r>
    </w:p>
    <w:p>
      <w:pPr>
        <w:pStyle w:val="25"/>
        <w:numPr>
          <w:ilvl w:val="-1"/>
          <w:numId w:val="0"/>
        </w:numPr>
        <w:tabs>
          <w:tab w:val="left" w:pos="1260"/>
          <w:tab w:val="clear" w:pos="840"/>
        </w:tabs>
        <w:spacing w:beforeLines="0" w:afterLines="0" w:line="360" w:lineRule="auto"/>
        <w:ind w:left="0"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十</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恐怖袭击。</w:t>
      </w:r>
    </w:p>
    <w:p>
      <w:pPr>
        <w:pStyle w:val="25"/>
        <w:numPr>
          <w:ilvl w:val="-1"/>
          <w:numId w:val="0"/>
        </w:numPr>
        <w:tabs>
          <w:tab w:val="clear" w:pos="840"/>
        </w:tabs>
        <w:spacing w:beforeLines="0" w:afterLines="0" w:line="360" w:lineRule="auto"/>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 xml:space="preserve">第七条 </w:t>
      </w:r>
      <w:r>
        <w:rPr>
          <w:rFonts w:hint="eastAsia" w:asciiTheme="minorEastAsia" w:hAnsiTheme="minorEastAsia" w:eastAsiaTheme="minorEastAsia" w:cstheme="minorEastAsia"/>
          <w:szCs w:val="21"/>
        </w:rPr>
        <w:t>被保险人在下列期间遭受伤害导致身故、</w:t>
      </w:r>
      <w:r>
        <w:rPr>
          <w:rFonts w:hint="eastAsia" w:asciiTheme="minorEastAsia" w:hAnsiTheme="minorEastAsia" w:eastAsiaTheme="minorEastAsia" w:cstheme="minorEastAsia"/>
          <w:szCs w:val="21"/>
          <w:lang w:val="en-US" w:eastAsia="zh-CN"/>
        </w:rPr>
        <w:t>伤残</w:t>
      </w:r>
      <w:r>
        <w:rPr>
          <w:rFonts w:hint="eastAsia" w:asciiTheme="minorEastAsia" w:hAnsiTheme="minorEastAsia" w:eastAsiaTheme="minorEastAsia" w:cstheme="minorEastAsia"/>
          <w:szCs w:val="21"/>
        </w:rPr>
        <w:t>的，保险人也不承担给付保险金责任：</w:t>
      </w:r>
    </w:p>
    <w:p>
      <w:pPr>
        <w:pStyle w:val="25"/>
        <w:numPr>
          <w:ilvl w:val="-1"/>
          <w:numId w:val="0"/>
        </w:numPr>
        <w:tabs>
          <w:tab w:val="left" w:pos="1260"/>
          <w:tab w:val="clear" w:pos="840"/>
        </w:tabs>
        <w:spacing w:beforeLines="0" w:afterLines="0" w:line="360" w:lineRule="auto"/>
        <w:ind w:left="0"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一</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战争、军事行动、暴动或武装叛乱期间；</w:t>
      </w:r>
    </w:p>
    <w:p>
      <w:pPr>
        <w:pStyle w:val="25"/>
        <w:numPr>
          <w:ilvl w:val="-1"/>
          <w:numId w:val="0"/>
        </w:numPr>
        <w:tabs>
          <w:tab w:val="left" w:pos="1260"/>
          <w:tab w:val="clear" w:pos="840"/>
        </w:tabs>
        <w:spacing w:beforeLines="0" w:afterLines="0" w:line="360" w:lineRule="auto"/>
        <w:ind w:left="0"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二</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被保险人醉酒或受毒品、管制药物的影响期间；</w:t>
      </w:r>
    </w:p>
    <w:p>
      <w:pPr>
        <w:pStyle w:val="25"/>
        <w:numPr>
          <w:ilvl w:val="-1"/>
          <w:numId w:val="0"/>
        </w:numPr>
        <w:tabs>
          <w:tab w:val="left" w:pos="1260"/>
          <w:tab w:val="clear" w:pos="840"/>
        </w:tabs>
        <w:spacing w:beforeLines="0" w:afterLines="0" w:line="360" w:lineRule="auto"/>
        <w:ind w:left="0"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三</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被保险人酒后驾车、无有效驾驶证驾驶或驾驶无有效行驶证的机动交通工具期间；</w:t>
      </w:r>
    </w:p>
    <w:p>
      <w:pPr>
        <w:pStyle w:val="25"/>
        <w:numPr>
          <w:ilvl w:val="-1"/>
          <w:numId w:val="0"/>
        </w:numPr>
        <w:tabs>
          <w:tab w:val="left" w:pos="1260"/>
          <w:tab w:val="clear" w:pos="840"/>
        </w:tabs>
        <w:spacing w:beforeLines="0" w:afterLines="0" w:line="360" w:lineRule="auto"/>
        <w:ind w:left="0"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四</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被保险人存在精神和行为障碍（以世界卫生组织颁布的《疾病和有关健康问题的国际统计分类（ICD-10）》为准）期间；</w:t>
      </w:r>
    </w:p>
    <w:p>
      <w:pPr>
        <w:pStyle w:val="25"/>
        <w:numPr>
          <w:ilvl w:val="-1"/>
          <w:numId w:val="0"/>
        </w:numPr>
        <w:tabs>
          <w:tab w:val="left" w:pos="1260"/>
          <w:tab w:val="clear" w:pos="840"/>
        </w:tabs>
        <w:spacing w:beforeLines="0" w:afterLines="0" w:line="360" w:lineRule="auto"/>
        <w:ind w:left="0"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五</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被保险人从事高风险运动或活动期间；</w:t>
      </w:r>
    </w:p>
    <w:p>
      <w:pPr>
        <w:pStyle w:val="25"/>
        <w:numPr>
          <w:ilvl w:val="-1"/>
          <w:numId w:val="0"/>
        </w:numPr>
        <w:tabs>
          <w:tab w:val="left" w:pos="1260"/>
          <w:tab w:val="clear" w:pos="840"/>
        </w:tabs>
        <w:spacing w:beforeLines="0" w:afterLines="0" w:line="360" w:lineRule="auto"/>
        <w:ind w:left="0"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六</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被保险人置身于任何飞机或热气球、滑翔器等航空装置（以乘客身份搭乘民用或商业航班者不在此限）期间；</w:t>
      </w:r>
    </w:p>
    <w:p>
      <w:pPr>
        <w:pStyle w:val="25"/>
        <w:numPr>
          <w:ilvl w:val="-1"/>
          <w:numId w:val="0"/>
        </w:numPr>
        <w:tabs>
          <w:tab w:val="left" w:pos="1260"/>
          <w:tab w:val="clear" w:pos="840"/>
        </w:tabs>
        <w:spacing w:beforeLines="0" w:afterLines="0" w:line="360" w:lineRule="auto"/>
        <w:ind w:left="0"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七</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被保险人作为职业运动员或专业运动员参加训练或比赛期间；</w:t>
      </w:r>
      <w:r>
        <w:rPr>
          <w:rFonts w:hint="eastAsia" w:asciiTheme="minorEastAsia" w:hAnsiTheme="minorEastAsia" w:eastAsiaTheme="minorEastAsia" w:cstheme="minorEastAsia"/>
          <w:szCs w:val="21"/>
        </w:rPr>
        <w:tab/>
      </w:r>
    </w:p>
    <w:p>
      <w:pPr>
        <w:pStyle w:val="25"/>
        <w:numPr>
          <w:ilvl w:val="-1"/>
          <w:numId w:val="0"/>
        </w:numPr>
        <w:tabs>
          <w:tab w:val="left" w:pos="1260"/>
          <w:tab w:val="clear" w:pos="840"/>
        </w:tabs>
        <w:spacing w:beforeLines="0" w:afterLines="0" w:line="360" w:lineRule="auto"/>
        <w:ind w:left="0"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八</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被保险人作为军人(含特种兵)、警务人员(含防暴警察)在训练或执行公务期间；</w:t>
      </w:r>
    </w:p>
    <w:p>
      <w:pPr>
        <w:pStyle w:val="25"/>
        <w:numPr>
          <w:ilvl w:val="-1"/>
          <w:numId w:val="0"/>
        </w:numPr>
        <w:tabs>
          <w:tab w:val="left" w:pos="1260"/>
          <w:tab w:val="clear" w:pos="840"/>
        </w:tabs>
        <w:spacing w:beforeLines="0" w:afterLines="0" w:line="360" w:lineRule="auto"/>
        <w:ind w:left="0"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九</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被保险人受雇于商业船舶并执行职务；于海军、空军服军役；职业性操作或测试任何种类交通工具；从事石油或化工业、森林砍伐业、建筑工程业、运输业、采掘业、采矿业、空中摄影、处理爆炸物、水上作业、高空作业等职业活动（任何体力劳动或与操作机器有关的工作）期间；</w:t>
      </w:r>
    </w:p>
    <w:p>
      <w:pPr>
        <w:pStyle w:val="25"/>
        <w:numPr>
          <w:ilvl w:val="-1"/>
          <w:numId w:val="0"/>
        </w:numPr>
        <w:tabs>
          <w:tab w:val="left" w:pos="1260"/>
          <w:tab w:val="clear" w:pos="840"/>
        </w:tabs>
        <w:spacing w:beforeLines="0" w:afterLines="0" w:line="360" w:lineRule="auto"/>
        <w:ind w:left="0"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十</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被保险人从事犯罪活动期间或被依法采取刑事强制措施或服刑期间；</w:t>
      </w:r>
      <w:r>
        <w:rPr>
          <w:rFonts w:hint="eastAsia" w:asciiTheme="minorEastAsia" w:hAnsiTheme="minorEastAsia" w:eastAsiaTheme="minorEastAsia" w:cstheme="minorEastAsia"/>
          <w:szCs w:val="21"/>
        </w:rPr>
        <w:tab/>
      </w:r>
    </w:p>
    <w:p>
      <w:pPr>
        <w:pStyle w:val="25"/>
        <w:numPr>
          <w:ilvl w:val="-1"/>
          <w:numId w:val="0"/>
        </w:numPr>
        <w:tabs>
          <w:tab w:val="left" w:pos="1260"/>
          <w:tab w:val="clear" w:pos="840"/>
        </w:tabs>
        <w:spacing w:beforeLines="0" w:afterLines="0" w:line="360" w:lineRule="auto"/>
        <w:ind w:left="0"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十一</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被保险人从事或参与恐怖主义活动、邪教组织活动；</w:t>
      </w:r>
    </w:p>
    <w:p>
      <w:pPr>
        <w:pStyle w:val="25"/>
        <w:numPr>
          <w:ilvl w:val="-1"/>
          <w:numId w:val="0"/>
        </w:numPr>
        <w:tabs>
          <w:tab w:val="left" w:pos="1260"/>
          <w:tab w:val="clear" w:pos="840"/>
        </w:tabs>
        <w:spacing w:beforeLines="0" w:afterLines="0" w:line="360" w:lineRule="auto"/>
        <w:ind w:left="0"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十二</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被保险人患艾滋病（AIDS）或感染艾滋病毒（HIV呈阳性）期间；</w:t>
      </w:r>
    </w:p>
    <w:p>
      <w:pPr>
        <w:pStyle w:val="25"/>
        <w:numPr>
          <w:ilvl w:val="-1"/>
          <w:numId w:val="0"/>
        </w:numPr>
        <w:tabs>
          <w:tab w:val="left" w:pos="1260"/>
          <w:tab w:val="clear" w:pos="840"/>
        </w:tabs>
        <w:spacing w:beforeLines="0" w:afterLines="0" w:line="360" w:lineRule="auto"/>
        <w:ind w:left="0"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十三</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直接或间接由流行疫病或大规模流行疫病爆发引起；</w:t>
      </w:r>
    </w:p>
    <w:p>
      <w:pPr>
        <w:pStyle w:val="25"/>
        <w:numPr>
          <w:ilvl w:val="-1"/>
          <w:numId w:val="0"/>
        </w:numPr>
        <w:tabs>
          <w:tab w:val="left" w:pos="1260"/>
          <w:tab w:val="clear" w:pos="840"/>
        </w:tabs>
        <w:spacing w:beforeLines="0" w:afterLines="0" w:line="360" w:lineRule="auto"/>
        <w:ind w:left="0"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十四</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被保险人以接受医生治疗或疗养为目的而进行旅行；被保险人违反医生的嘱咐而旅行或当被保险人在其身体条件不适宜于旅行时进行旅行；</w:t>
      </w:r>
    </w:p>
    <w:p>
      <w:pPr>
        <w:pStyle w:val="25"/>
        <w:numPr>
          <w:ilvl w:val="-1"/>
          <w:numId w:val="0"/>
        </w:numPr>
        <w:tabs>
          <w:tab w:val="left" w:pos="1260"/>
          <w:tab w:val="clear" w:pos="840"/>
        </w:tabs>
        <w:spacing w:beforeLines="0" w:afterLines="0" w:line="360" w:lineRule="auto"/>
        <w:ind w:left="0"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十五</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被保险人身体状况尚适宜旅行情况下未遵循主治医生建议立即返回日常居住地或日常工作地做进一步治疗而导致病情恶化所引致的损失。</w:t>
      </w:r>
    </w:p>
    <w:p>
      <w:pPr>
        <w:pStyle w:val="25"/>
        <w:spacing w:beforeLines="0" w:afterLines="0" w:line="36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保险金额</w:t>
      </w:r>
    </w:p>
    <w:p>
      <w:pPr>
        <w:pStyle w:val="25"/>
        <w:numPr>
          <w:ilvl w:val="-1"/>
          <w:numId w:val="0"/>
        </w:numPr>
        <w:tabs>
          <w:tab w:val="clear" w:pos="840"/>
        </w:tabs>
        <w:spacing w:beforeLines="0" w:afterLines="0" w:line="360" w:lineRule="auto"/>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bCs/>
          <w:szCs w:val="21"/>
          <w:lang w:val="en-US" w:eastAsia="zh-CN"/>
        </w:rPr>
        <w:t>第八条</w:t>
      </w:r>
      <w:r>
        <w:rPr>
          <w:rFonts w:hint="eastAsia" w:asciiTheme="minorEastAsia" w:hAnsiTheme="minorEastAsia" w:eastAsiaTheme="minorEastAsia" w:cstheme="minorEastAsia"/>
          <w:b w:val="0"/>
          <w:szCs w:val="21"/>
          <w:lang w:val="en-US" w:eastAsia="zh-CN"/>
        </w:rPr>
        <w:t xml:space="preserve"> </w:t>
      </w:r>
      <w:r>
        <w:rPr>
          <w:rFonts w:hint="eastAsia" w:asciiTheme="minorEastAsia" w:hAnsiTheme="minorEastAsia" w:eastAsiaTheme="minorEastAsia" w:cstheme="minorEastAsia"/>
          <w:b w:val="0"/>
          <w:szCs w:val="21"/>
        </w:rPr>
        <w:t>保险金额是保险人承担给付保险金责任的最高限额。保险金额由投保人、保险人双方约定，并在保险单中载明。</w:t>
      </w:r>
    </w:p>
    <w:p>
      <w:pPr>
        <w:pStyle w:val="24"/>
        <w:spacing w:beforeLines="0" w:afterLines="0" w:line="360" w:lineRule="auto"/>
        <w:ind w:left="0" w:lef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保险期间</w:t>
      </w:r>
    </w:p>
    <w:p>
      <w:pPr>
        <w:pStyle w:val="25"/>
        <w:numPr>
          <w:ilvl w:val="-1"/>
          <w:numId w:val="0"/>
        </w:numPr>
        <w:tabs>
          <w:tab w:val="clear" w:pos="840"/>
        </w:tabs>
        <w:spacing w:beforeLines="0" w:afterLines="0" w:line="360" w:lineRule="auto"/>
        <w:ind w:firstLine="422" w:firstLineChars="200"/>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bCs/>
          <w:szCs w:val="21"/>
          <w:lang w:val="en-US" w:eastAsia="zh-CN"/>
        </w:rPr>
        <w:t>第九条</w:t>
      </w:r>
      <w:r>
        <w:rPr>
          <w:rFonts w:hint="eastAsia" w:asciiTheme="minorEastAsia" w:hAnsiTheme="minorEastAsia" w:eastAsiaTheme="minorEastAsia" w:cstheme="minorEastAsia"/>
          <w:b/>
          <w:szCs w:val="21"/>
          <w:lang w:val="en-US" w:eastAsia="zh-CN"/>
        </w:rPr>
        <w:t xml:space="preserve"> </w:t>
      </w:r>
      <w:r>
        <w:rPr>
          <w:rFonts w:hint="eastAsia" w:asciiTheme="minorEastAsia" w:hAnsiTheme="minorEastAsia" w:eastAsiaTheme="minorEastAsia" w:cstheme="minorEastAsia"/>
          <w:b w:val="0"/>
          <w:bCs/>
          <w:szCs w:val="21"/>
          <w:lang w:eastAsia="zh-CN"/>
        </w:rPr>
        <w:t>本保险合同</w:t>
      </w:r>
      <w:r>
        <w:rPr>
          <w:rFonts w:hint="eastAsia" w:asciiTheme="minorEastAsia" w:hAnsiTheme="minorEastAsia" w:eastAsiaTheme="minorEastAsia" w:cstheme="minorEastAsia"/>
          <w:b w:val="0"/>
          <w:bCs/>
          <w:szCs w:val="21"/>
        </w:rPr>
        <w:t>保险期间以保险人和投保人协商确定，以保险单载明的起</w:t>
      </w:r>
      <w:r>
        <w:rPr>
          <w:rFonts w:hint="eastAsia" w:asciiTheme="minorEastAsia" w:hAnsiTheme="minorEastAsia" w:eastAsiaTheme="minorEastAsia" w:cstheme="minorEastAsia"/>
          <w:b w:val="0"/>
          <w:bCs/>
          <w:szCs w:val="21"/>
          <w:lang w:val="en-US" w:eastAsia="zh-CN"/>
        </w:rPr>
        <w:t>止</w:t>
      </w:r>
      <w:r>
        <w:rPr>
          <w:rFonts w:hint="eastAsia" w:asciiTheme="minorEastAsia" w:hAnsiTheme="minorEastAsia" w:eastAsiaTheme="minorEastAsia" w:cstheme="minorEastAsia"/>
          <w:b w:val="0"/>
          <w:bCs/>
          <w:szCs w:val="21"/>
        </w:rPr>
        <w:t>时间为准。</w:t>
      </w:r>
    </w:p>
    <w:p>
      <w:pPr>
        <w:pStyle w:val="24"/>
        <w:spacing w:beforeLines="0" w:afterLines="0" w:line="360" w:lineRule="auto"/>
        <w:ind w:left="0" w:lef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保险人义务</w:t>
      </w:r>
    </w:p>
    <w:p>
      <w:pPr>
        <w:pStyle w:val="25"/>
        <w:numPr>
          <w:ilvl w:val="-1"/>
          <w:numId w:val="0"/>
        </w:numPr>
        <w:tabs>
          <w:tab w:val="clear" w:pos="840"/>
        </w:tabs>
        <w:spacing w:beforeLines="0" w:afterLines="0" w:line="360" w:lineRule="auto"/>
        <w:ind w:firstLine="422" w:firstLineChars="200"/>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bCs/>
          <w:szCs w:val="21"/>
          <w:lang w:val="en-US" w:eastAsia="zh-CN"/>
        </w:rPr>
        <w:t>第十条</w:t>
      </w:r>
      <w:r>
        <w:rPr>
          <w:rFonts w:hint="eastAsia" w:asciiTheme="minorEastAsia" w:hAnsiTheme="minorEastAsia" w:eastAsiaTheme="minorEastAsia" w:cstheme="minorEastAsia"/>
          <w:b/>
          <w:szCs w:val="21"/>
          <w:lang w:val="en-US" w:eastAsia="zh-CN"/>
        </w:rPr>
        <w:t xml:space="preserve"> </w:t>
      </w:r>
      <w:r>
        <w:rPr>
          <w:rFonts w:hint="eastAsia" w:asciiTheme="minorEastAsia" w:hAnsiTheme="minorEastAsia" w:eastAsiaTheme="minorEastAsia" w:cstheme="minorEastAsia"/>
          <w:b w:val="0"/>
          <w:bCs/>
          <w:szCs w:val="21"/>
        </w:rPr>
        <w:t>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pStyle w:val="25"/>
        <w:numPr>
          <w:ilvl w:val="-1"/>
          <w:numId w:val="0"/>
        </w:numPr>
        <w:tabs>
          <w:tab w:val="clear" w:pos="840"/>
        </w:tabs>
        <w:spacing w:beforeLines="0" w:afterLines="0" w:line="360" w:lineRule="auto"/>
        <w:ind w:firstLine="422" w:firstLineChars="200"/>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bCs/>
          <w:szCs w:val="21"/>
          <w:lang w:val="en-US" w:eastAsia="zh-CN"/>
        </w:rPr>
        <w:t>第十一条</w:t>
      </w:r>
      <w:r>
        <w:rPr>
          <w:rFonts w:hint="eastAsia" w:asciiTheme="minorEastAsia" w:hAnsiTheme="minorEastAsia" w:eastAsiaTheme="minorEastAsia" w:cstheme="minorEastAsia"/>
          <w:b/>
          <w:szCs w:val="21"/>
          <w:lang w:val="en-US" w:eastAsia="zh-CN"/>
        </w:rPr>
        <w:t xml:space="preserve"> </w:t>
      </w:r>
      <w:r>
        <w:rPr>
          <w:rFonts w:hint="eastAsia" w:asciiTheme="minorEastAsia" w:hAnsiTheme="minorEastAsia" w:eastAsiaTheme="minorEastAsia" w:cstheme="minorEastAsia"/>
          <w:b w:val="0"/>
          <w:bCs/>
          <w:szCs w:val="21"/>
        </w:rPr>
        <w:t>本保险合同成立后，保险人应当及时向投保人签发保险单或其他保险凭证。</w:t>
      </w:r>
    </w:p>
    <w:p>
      <w:pPr>
        <w:pStyle w:val="25"/>
        <w:numPr>
          <w:ilvl w:val="-1"/>
          <w:numId w:val="0"/>
        </w:numPr>
        <w:tabs>
          <w:tab w:val="clear" w:pos="840"/>
        </w:tabs>
        <w:spacing w:beforeLines="0" w:afterLines="0" w:line="360" w:lineRule="auto"/>
        <w:ind w:firstLine="422" w:firstLineChars="200"/>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bCs/>
          <w:szCs w:val="21"/>
          <w:lang w:val="en-US" w:eastAsia="zh-CN"/>
        </w:rPr>
        <w:t>第十二条</w:t>
      </w:r>
      <w:r>
        <w:rPr>
          <w:rFonts w:hint="eastAsia" w:asciiTheme="minorEastAsia" w:hAnsiTheme="minorEastAsia" w:eastAsiaTheme="minorEastAsia" w:cstheme="minorEastAsia"/>
          <w:b/>
          <w:szCs w:val="21"/>
          <w:lang w:val="en-US" w:eastAsia="zh-CN"/>
        </w:rPr>
        <w:t xml:space="preserve"> </w:t>
      </w:r>
      <w:r>
        <w:rPr>
          <w:rFonts w:hint="eastAsia" w:asciiTheme="minorEastAsia" w:hAnsiTheme="minorEastAsia" w:eastAsiaTheme="minorEastAsia" w:cstheme="minorEastAsia"/>
          <w:b w:val="0"/>
          <w:bCs/>
          <w:szCs w:val="21"/>
        </w:rPr>
        <w:t>保险人依据第十七、十八条所取得的保险合同解除权，自保险人知道有解除事由之日起，超过三十日不行使而消灭。自保险合同成立之日起超过二年的，保险人不得解除合同；发生保险事故的，保险人承担给付保险金责任。</w:t>
      </w:r>
    </w:p>
    <w:p>
      <w:pPr>
        <w:adjustRightInd w:val="0"/>
        <w:snapToGrid w:val="0"/>
        <w:spacing w:beforeLines="0" w:afterLines="0" w:line="360" w:lineRule="auto"/>
        <w:ind w:firstLine="420" w:firstLineChars="200"/>
        <w:rPr>
          <w:rStyle w:val="77"/>
          <w:rFonts w:hint="eastAsia" w:asciiTheme="minorEastAsia" w:hAnsiTheme="minorEastAsia" w:eastAsiaTheme="minorEastAsia" w:cstheme="minorEastAsia"/>
          <w:szCs w:val="21"/>
        </w:rPr>
      </w:pPr>
      <w:r>
        <w:rPr>
          <w:rStyle w:val="77"/>
          <w:rFonts w:hint="eastAsia" w:asciiTheme="minorEastAsia" w:hAnsiTheme="minorEastAsia" w:eastAsiaTheme="minorEastAsia" w:cstheme="minorEastAsia"/>
          <w:szCs w:val="21"/>
        </w:rPr>
        <w:t>保险人在合同订立时已经知道投保人未如实告知的情况的，保险人不得解除合同；发生保险事故的，保险人应当承担给付保险金责任。</w:t>
      </w:r>
    </w:p>
    <w:p>
      <w:pPr>
        <w:pStyle w:val="25"/>
        <w:numPr>
          <w:ilvl w:val="-1"/>
          <w:numId w:val="0"/>
        </w:numPr>
        <w:tabs>
          <w:tab w:val="clear" w:pos="840"/>
        </w:tabs>
        <w:spacing w:beforeLines="0" w:afterLines="0" w:line="360" w:lineRule="auto"/>
        <w:ind w:firstLine="422" w:firstLineChars="200"/>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bCs/>
          <w:szCs w:val="21"/>
          <w:lang w:val="en-US" w:eastAsia="zh-CN"/>
        </w:rPr>
        <w:t>第十三条</w:t>
      </w:r>
      <w:r>
        <w:rPr>
          <w:rFonts w:hint="eastAsia" w:asciiTheme="minorEastAsia" w:hAnsiTheme="minorEastAsia" w:eastAsiaTheme="minorEastAsia" w:cstheme="minorEastAsia"/>
          <w:b/>
          <w:szCs w:val="21"/>
          <w:lang w:val="en-US" w:eastAsia="zh-CN"/>
        </w:rPr>
        <w:t xml:space="preserve"> </w:t>
      </w:r>
      <w:r>
        <w:rPr>
          <w:rFonts w:hint="eastAsia" w:asciiTheme="minorEastAsia" w:hAnsiTheme="minorEastAsia" w:eastAsiaTheme="minorEastAsia" w:cstheme="minorEastAsia"/>
          <w:b w:val="0"/>
          <w:bCs/>
          <w:szCs w:val="21"/>
        </w:rPr>
        <w:t>保险人按照第二十二条的约定，认为投保人、被保险人或者受益人提供的有关索赔的证明和资料不完整的，应当及时一次性通知投保人、被保险人或者受益人补充提供。</w:t>
      </w:r>
    </w:p>
    <w:p>
      <w:pPr>
        <w:pStyle w:val="25"/>
        <w:numPr>
          <w:ilvl w:val="-1"/>
          <w:numId w:val="0"/>
        </w:numPr>
        <w:tabs>
          <w:tab w:val="clear" w:pos="840"/>
        </w:tabs>
        <w:spacing w:beforeLines="0" w:afterLines="0" w:line="360" w:lineRule="auto"/>
        <w:ind w:firstLine="422" w:firstLineChars="200"/>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bCs/>
          <w:szCs w:val="21"/>
          <w:lang w:val="en-US" w:eastAsia="zh-CN"/>
        </w:rPr>
        <w:t>第十四条</w:t>
      </w:r>
      <w:r>
        <w:rPr>
          <w:rFonts w:hint="eastAsia" w:asciiTheme="minorEastAsia" w:hAnsiTheme="minorEastAsia" w:eastAsiaTheme="minorEastAsia" w:cstheme="minorEastAsia"/>
          <w:b/>
          <w:szCs w:val="21"/>
          <w:lang w:val="en-US" w:eastAsia="zh-CN"/>
        </w:rPr>
        <w:t xml:space="preserve"> </w:t>
      </w:r>
      <w:r>
        <w:rPr>
          <w:rFonts w:hint="eastAsia" w:asciiTheme="minorEastAsia" w:hAnsiTheme="minorEastAsia" w:eastAsiaTheme="minorEastAsia" w:cstheme="minorEastAsia"/>
          <w:b w:val="0"/>
          <w:bCs/>
          <w:szCs w:val="21"/>
        </w:rPr>
        <w:t>保险人收到被保险人或者受益人的给付保险金的请求后，应当及时作出是否属于保险责任的核定；情形复杂的，应当在三十日内作出核定。但保险责任的核定必须依赖于特定证明、鉴定、判决、裁定或其他证据材料的，保险人应在被保险人或者受益人提供或自行取得上述证据材料起三十日内作出核定。</w:t>
      </w:r>
      <w:r>
        <w:rPr>
          <w:rFonts w:hint="eastAsia" w:asciiTheme="minorEastAsia" w:hAnsiTheme="minorEastAsia" w:eastAsiaTheme="minorEastAsia" w:cstheme="minorEastAsia"/>
          <w:b w:val="0"/>
          <w:bCs/>
          <w:szCs w:val="21"/>
          <w:lang w:eastAsia="zh-CN"/>
        </w:rPr>
        <w:t>本保险合同</w:t>
      </w:r>
      <w:r>
        <w:rPr>
          <w:rFonts w:hint="eastAsia" w:asciiTheme="minorEastAsia" w:hAnsiTheme="minorEastAsia" w:eastAsiaTheme="minorEastAsia" w:cstheme="minorEastAsia"/>
          <w:b w:val="0"/>
          <w:bCs/>
          <w:szCs w:val="21"/>
        </w:rPr>
        <w:t>另有约定的除外。</w:t>
      </w:r>
    </w:p>
    <w:p>
      <w:pPr>
        <w:adjustRightInd w:val="0"/>
        <w:snapToGrid w:val="0"/>
        <w:spacing w:beforeLines="0" w:afterLines="0"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保险人应当将核定结果通知被保险人或者受益人；对属于保险责任的，在与被保险人或者受益人达成给付保险金的协议后十日内，履行赔偿保险金义务。保险合同对给付保险金的期限有约定的，保险人应当按照约定履行给付保险金的义务。保险人依照前款约定作出核定后，</w:t>
      </w:r>
      <w:r>
        <w:rPr>
          <w:rStyle w:val="77"/>
          <w:rFonts w:hint="eastAsia" w:asciiTheme="minorEastAsia" w:hAnsiTheme="minorEastAsia" w:eastAsiaTheme="minorEastAsia" w:cstheme="minorEastAsia"/>
          <w:szCs w:val="21"/>
        </w:rPr>
        <w:t>对不属于保险责任的，应当自作出核定之日起三日内向被保险人</w:t>
      </w:r>
      <w:r>
        <w:rPr>
          <w:rFonts w:hint="eastAsia" w:asciiTheme="minorEastAsia" w:hAnsiTheme="minorEastAsia" w:eastAsiaTheme="minorEastAsia" w:cstheme="minorEastAsia"/>
          <w:szCs w:val="21"/>
        </w:rPr>
        <w:t>或者受益人</w:t>
      </w:r>
      <w:r>
        <w:rPr>
          <w:rStyle w:val="77"/>
          <w:rFonts w:hint="eastAsia" w:asciiTheme="minorEastAsia" w:hAnsiTheme="minorEastAsia" w:eastAsiaTheme="minorEastAsia" w:cstheme="minorEastAsia"/>
          <w:szCs w:val="21"/>
        </w:rPr>
        <w:t>发出拒绝给付保险金通知书，并说明理由</w:t>
      </w:r>
      <w:r>
        <w:rPr>
          <w:rFonts w:hint="eastAsia" w:asciiTheme="minorEastAsia" w:hAnsiTheme="minorEastAsia" w:eastAsiaTheme="minorEastAsia" w:cstheme="minorEastAsia"/>
          <w:szCs w:val="21"/>
        </w:rPr>
        <w:t>。</w:t>
      </w:r>
    </w:p>
    <w:p>
      <w:pPr>
        <w:pStyle w:val="25"/>
        <w:numPr>
          <w:ilvl w:val="-1"/>
          <w:numId w:val="0"/>
        </w:numPr>
        <w:tabs>
          <w:tab w:val="clear" w:pos="840"/>
        </w:tabs>
        <w:spacing w:beforeLines="0" w:afterLines="0" w:line="360" w:lineRule="auto"/>
        <w:ind w:firstLine="422" w:firstLineChars="200"/>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bCs/>
          <w:szCs w:val="21"/>
          <w:lang w:val="en-US" w:eastAsia="zh-CN"/>
        </w:rPr>
        <w:t>第十五条</w:t>
      </w:r>
      <w:r>
        <w:rPr>
          <w:rFonts w:hint="eastAsia" w:asciiTheme="minorEastAsia" w:hAnsiTheme="minorEastAsia" w:eastAsiaTheme="minorEastAsia" w:cstheme="minorEastAsia"/>
          <w:b/>
          <w:szCs w:val="21"/>
          <w:lang w:val="en-US" w:eastAsia="zh-CN"/>
        </w:rPr>
        <w:t xml:space="preserve"> </w:t>
      </w:r>
      <w:r>
        <w:rPr>
          <w:rFonts w:hint="eastAsia" w:asciiTheme="minorEastAsia" w:hAnsiTheme="minorEastAsia" w:eastAsiaTheme="minorEastAsia" w:cstheme="minorEastAsia"/>
          <w:b w:val="0"/>
          <w:bCs/>
          <w:szCs w:val="21"/>
        </w:rPr>
        <w:t>保险人自收到给付保险金的请求和有关证明、资料之日起六十日内，对其赔偿保险金的数额不能确定的，应当根据已有证明和资料可以确定的数额先予支付；保险人最终确定给付的数额后，应当支付相应的差额。 </w:t>
      </w:r>
    </w:p>
    <w:p>
      <w:pPr>
        <w:pStyle w:val="25"/>
        <w:spacing w:beforeLines="0" w:afterLines="0" w:line="36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投保人、被保险人义务</w:t>
      </w:r>
    </w:p>
    <w:p>
      <w:pPr>
        <w:pStyle w:val="25"/>
        <w:numPr>
          <w:ilvl w:val="-1"/>
          <w:numId w:val="0"/>
        </w:numPr>
        <w:tabs>
          <w:tab w:val="clear" w:pos="840"/>
        </w:tabs>
        <w:spacing w:beforeLines="0" w:afterLines="0" w:line="360" w:lineRule="auto"/>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lang w:val="en-US" w:eastAsia="zh-CN"/>
        </w:rPr>
        <w:t>第十六条</w:t>
      </w:r>
      <w:r>
        <w:rPr>
          <w:rFonts w:hint="eastAsia" w:asciiTheme="minorEastAsia" w:hAnsiTheme="minorEastAsia" w:eastAsiaTheme="minorEastAsia" w:cstheme="minorEastAsia"/>
          <w:b/>
          <w:szCs w:val="21"/>
          <w:lang w:val="en-US" w:eastAsia="zh-CN"/>
        </w:rPr>
        <w:t xml:space="preserve"> </w:t>
      </w:r>
      <w:r>
        <w:rPr>
          <w:rFonts w:hint="eastAsia" w:asciiTheme="minorEastAsia" w:hAnsiTheme="minorEastAsia" w:eastAsiaTheme="minorEastAsia" w:cstheme="minorEastAsia"/>
          <w:b w:val="0"/>
          <w:bCs/>
          <w:szCs w:val="21"/>
        </w:rPr>
        <w:t>除另有约定外，投保人应当在保险合同成立时交清保险费。</w:t>
      </w:r>
      <w:r>
        <w:rPr>
          <w:rFonts w:hint="eastAsia" w:asciiTheme="minorEastAsia" w:hAnsiTheme="minorEastAsia" w:eastAsiaTheme="minorEastAsia" w:cstheme="minorEastAsia"/>
          <w:b/>
          <w:szCs w:val="21"/>
        </w:rPr>
        <w:t>保险费未按约定及时足额交付前，</w:t>
      </w:r>
      <w:r>
        <w:rPr>
          <w:rFonts w:hint="eastAsia" w:asciiTheme="minorEastAsia" w:hAnsiTheme="minorEastAsia" w:eastAsiaTheme="minorEastAsia" w:cstheme="minorEastAsia"/>
          <w:b/>
          <w:bCs/>
          <w:szCs w:val="21"/>
        </w:rPr>
        <w:t>本保险合同不生效</w:t>
      </w:r>
      <w:r>
        <w:rPr>
          <w:rFonts w:hint="eastAsia" w:asciiTheme="minorEastAsia" w:hAnsiTheme="minorEastAsia" w:eastAsiaTheme="minorEastAsia" w:cstheme="minorEastAsia"/>
          <w:b/>
          <w:szCs w:val="21"/>
        </w:rPr>
        <w:t>。</w:t>
      </w:r>
    </w:p>
    <w:p>
      <w:pPr>
        <w:pStyle w:val="25"/>
        <w:numPr>
          <w:ilvl w:val="-1"/>
          <w:numId w:val="0"/>
        </w:numPr>
        <w:tabs>
          <w:tab w:val="clear" w:pos="840"/>
        </w:tabs>
        <w:spacing w:beforeLines="0" w:afterLines="0" w:line="360" w:lineRule="auto"/>
        <w:ind w:firstLine="422" w:firstLineChars="200"/>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bCs/>
          <w:szCs w:val="21"/>
          <w:lang w:val="en-US" w:eastAsia="zh-CN"/>
        </w:rPr>
        <w:t>第十七条</w:t>
      </w:r>
      <w:r>
        <w:rPr>
          <w:rFonts w:hint="eastAsia" w:asciiTheme="minorEastAsia" w:hAnsiTheme="minorEastAsia" w:eastAsiaTheme="minorEastAsia" w:cstheme="minorEastAsia"/>
          <w:b/>
          <w:szCs w:val="21"/>
          <w:lang w:val="en-US" w:eastAsia="zh-CN"/>
        </w:rPr>
        <w:t xml:space="preserve"> </w:t>
      </w:r>
      <w:r>
        <w:rPr>
          <w:rFonts w:hint="eastAsia" w:asciiTheme="minorEastAsia" w:hAnsiTheme="minorEastAsia" w:eastAsiaTheme="minorEastAsia" w:cstheme="minorEastAsia"/>
          <w:b w:val="0"/>
          <w:bCs/>
          <w:szCs w:val="21"/>
        </w:rPr>
        <w:t>订立保险合同，保险人就被保险人的有关情况提出询问的，投保人应当如实告知。</w:t>
      </w:r>
    </w:p>
    <w:p>
      <w:pPr>
        <w:pStyle w:val="24"/>
        <w:spacing w:beforeLines="0" w:afterLines="0" w:line="360" w:lineRule="auto"/>
        <w:ind w:left="0" w:leftChars="0" w:firstLine="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投保人故意或者因重大过失未履行前款规定的义务，足以影响保险人决定是否同意承保或者提高保险费率的，保险人有权解除</w:t>
      </w:r>
      <w:r>
        <w:rPr>
          <w:rFonts w:hint="eastAsia" w:asciiTheme="minorEastAsia" w:hAnsiTheme="minorEastAsia" w:eastAsiaTheme="minorEastAsia" w:cstheme="minorEastAsia"/>
          <w:b/>
          <w:szCs w:val="21"/>
          <w:lang w:eastAsia="zh-CN"/>
        </w:rPr>
        <w:t>本保险合同</w:t>
      </w:r>
      <w:r>
        <w:rPr>
          <w:rFonts w:hint="eastAsia" w:asciiTheme="minorEastAsia" w:hAnsiTheme="minorEastAsia" w:eastAsiaTheme="minorEastAsia" w:cstheme="minorEastAsia"/>
          <w:b/>
          <w:szCs w:val="21"/>
        </w:rPr>
        <w:t>。</w:t>
      </w:r>
    </w:p>
    <w:p>
      <w:pPr>
        <w:pStyle w:val="24"/>
        <w:spacing w:beforeLines="0" w:afterLines="0" w:line="360" w:lineRule="auto"/>
        <w:ind w:left="0" w:leftChars="0" w:firstLine="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投保人故意不履行如实告知义务的，保险人对于合同解除前发生的保险事故，不承担给付保险金责任，并不退还保险费。</w:t>
      </w:r>
    </w:p>
    <w:p>
      <w:pPr>
        <w:pStyle w:val="24"/>
        <w:spacing w:beforeLines="0" w:afterLines="0" w:line="360" w:lineRule="auto"/>
        <w:ind w:left="0" w:leftChars="0" w:firstLine="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投保人因重大过失未履行如实告知义务，对保险事故的发生有严重影响的，保险人对于合同解除前发生的保险事故，不承担给付保险金责任，但应当退还保险费。</w:t>
      </w:r>
    </w:p>
    <w:p>
      <w:pPr>
        <w:pStyle w:val="25"/>
        <w:numPr>
          <w:ilvl w:val="0"/>
          <w:numId w:val="0"/>
        </w:numPr>
        <w:tabs>
          <w:tab w:val="left" w:pos="864"/>
          <w:tab w:val="clear" w:pos="840"/>
        </w:tabs>
        <w:spacing w:beforeLines="0" w:afterLines="0" w:line="360" w:lineRule="auto"/>
        <w:ind w:leftChars="0" w:firstLine="422" w:firstLineChars="200"/>
        <w:rPr>
          <w:rFonts w:hint="eastAsia" w:ascii="宋体" w:hAnsi="宋体" w:eastAsia="宋体" w:cs="Times New Roman"/>
          <w:b w:val="0"/>
          <w:bCs/>
          <w:szCs w:val="21"/>
        </w:rPr>
      </w:pPr>
      <w:r>
        <w:rPr>
          <w:rFonts w:hint="eastAsia" w:asciiTheme="minorEastAsia" w:hAnsiTheme="minorEastAsia" w:eastAsiaTheme="minorEastAsia" w:cstheme="minorEastAsia"/>
          <w:b/>
          <w:bCs/>
          <w:szCs w:val="21"/>
          <w:lang w:val="en-US" w:eastAsia="zh-CN"/>
        </w:rPr>
        <w:t>第十八条</w:t>
      </w:r>
      <w:r>
        <w:rPr>
          <w:rFonts w:hint="eastAsia" w:asciiTheme="minorEastAsia" w:hAnsiTheme="minorEastAsia" w:eastAsiaTheme="minorEastAsia" w:cstheme="minorEastAsia"/>
          <w:b w:val="0"/>
          <w:szCs w:val="21"/>
          <w:lang w:val="en-US" w:eastAsia="zh-CN"/>
        </w:rPr>
        <w:t xml:space="preserve"> </w:t>
      </w:r>
      <w:r>
        <w:rPr>
          <w:rFonts w:hint="eastAsia" w:ascii="宋体" w:hAnsi="宋体"/>
          <w:b w:val="0"/>
          <w:bCs/>
          <w:szCs w:val="21"/>
        </w:rPr>
        <w:t>投保人申请投保时，</w:t>
      </w:r>
      <w:r>
        <w:rPr>
          <w:rFonts w:hint="eastAsia" w:ascii="宋体" w:hAnsi="宋体" w:eastAsia="宋体" w:cs="Times New Roman"/>
          <w:b w:val="0"/>
          <w:bCs/>
          <w:szCs w:val="21"/>
        </w:rPr>
        <w:t>应按被保险人的周岁年龄填写，如果发生错误按照下列方式办理：</w:t>
      </w:r>
    </w:p>
    <w:p>
      <w:pPr>
        <w:pStyle w:val="25"/>
        <w:keepNext w:val="0"/>
        <w:keepLines w:val="0"/>
        <w:pageBreakBefore w:val="0"/>
        <w:widowControl w:val="0"/>
        <w:kinsoku/>
        <w:wordWrap/>
        <w:overflowPunct/>
        <w:topLinePunct w:val="0"/>
        <w:autoSpaceDE/>
        <w:autoSpaceDN/>
        <w:bidi w:val="0"/>
        <w:spacing w:beforeLines="0" w:afterLines="0" w:line="360" w:lineRule="auto"/>
        <w:ind w:left="0" w:leftChars="0" w:right="0" w:rightChars="0" w:firstLine="422" w:firstLineChars="200"/>
        <w:jc w:val="both"/>
        <w:textAlignment w:val="auto"/>
        <w:outlineLvl w:val="9"/>
        <w:rPr>
          <w:rFonts w:hint="eastAsia" w:ascii="宋体" w:hAnsi="宋体" w:eastAsia="宋体" w:cs="Times New Roman"/>
          <w:b/>
          <w:bCs w:val="0"/>
          <w:szCs w:val="21"/>
        </w:rPr>
      </w:pPr>
      <w:r>
        <w:rPr>
          <w:rFonts w:hint="eastAsia" w:ascii="宋体" w:hAnsi="宋体" w:eastAsia="宋体" w:cs="Times New Roman"/>
          <w:b/>
          <w:bCs w:val="0"/>
          <w:szCs w:val="21"/>
        </w:rPr>
        <w:t>（一）投保人申报的被保险人年龄不真实，并且其真实年龄不符合</w:t>
      </w:r>
      <w:r>
        <w:rPr>
          <w:rFonts w:hint="eastAsia" w:ascii="宋体" w:hAnsi="宋体" w:eastAsia="宋体" w:cs="Times New Roman"/>
          <w:b/>
          <w:bCs w:val="0"/>
          <w:szCs w:val="21"/>
          <w:lang w:eastAsia="zh-CN"/>
        </w:rPr>
        <w:t>本保险合同</w:t>
      </w:r>
      <w:r>
        <w:rPr>
          <w:rFonts w:hint="eastAsia" w:ascii="宋体" w:hAnsi="宋体" w:eastAsia="宋体" w:cs="Times New Roman"/>
          <w:b/>
          <w:bCs w:val="0"/>
          <w:szCs w:val="21"/>
        </w:rPr>
        <w:t>约定投保年龄限制的，保险人有权解除</w:t>
      </w:r>
      <w:r>
        <w:rPr>
          <w:rFonts w:hint="eastAsia" w:ascii="宋体" w:hAnsi="宋体" w:eastAsia="宋体" w:cs="Times New Roman"/>
          <w:b/>
          <w:bCs w:val="0"/>
          <w:szCs w:val="21"/>
          <w:lang w:eastAsia="zh-CN"/>
        </w:rPr>
        <w:t>本保险合同</w:t>
      </w:r>
      <w:r>
        <w:rPr>
          <w:rFonts w:hint="eastAsia" w:ascii="宋体" w:hAnsi="宋体" w:eastAsia="宋体" w:cs="Times New Roman"/>
          <w:b/>
          <w:bCs w:val="0"/>
          <w:szCs w:val="21"/>
        </w:rPr>
        <w:t>，并向投保人退还未满期净保费。对于</w:t>
      </w:r>
      <w:r>
        <w:rPr>
          <w:rFonts w:hint="eastAsia" w:ascii="宋体" w:hAnsi="宋体" w:eastAsia="宋体" w:cs="Times New Roman"/>
          <w:b/>
          <w:bCs w:val="0"/>
          <w:szCs w:val="21"/>
          <w:lang w:eastAsia="zh-CN"/>
        </w:rPr>
        <w:t>本保险合同</w:t>
      </w:r>
      <w:r>
        <w:rPr>
          <w:rFonts w:hint="eastAsia" w:ascii="宋体" w:hAnsi="宋体" w:eastAsia="宋体" w:cs="Times New Roman"/>
          <w:b/>
          <w:bCs w:val="0"/>
          <w:szCs w:val="21"/>
        </w:rPr>
        <w:t>解除前发生的保险事故，保险人不承担给付保险金的责任。</w:t>
      </w:r>
    </w:p>
    <w:p>
      <w:pPr>
        <w:pStyle w:val="25"/>
        <w:keepNext w:val="0"/>
        <w:keepLines w:val="0"/>
        <w:pageBreakBefore w:val="0"/>
        <w:widowControl w:val="0"/>
        <w:kinsoku/>
        <w:wordWrap/>
        <w:overflowPunct/>
        <w:topLinePunct w:val="0"/>
        <w:autoSpaceDE/>
        <w:autoSpaceDN/>
        <w:bidi w:val="0"/>
        <w:spacing w:beforeLines="0" w:afterLines="0" w:line="360" w:lineRule="auto"/>
        <w:ind w:left="0" w:leftChars="0" w:right="0" w:rightChars="0" w:firstLine="422" w:firstLineChars="200"/>
        <w:jc w:val="both"/>
        <w:textAlignment w:val="auto"/>
        <w:outlineLvl w:val="9"/>
        <w:rPr>
          <w:rFonts w:hint="eastAsia" w:ascii="宋体" w:hAnsi="宋体" w:eastAsia="宋体" w:cs="Times New Roman"/>
          <w:b/>
          <w:bCs w:val="0"/>
          <w:szCs w:val="21"/>
        </w:rPr>
      </w:pPr>
      <w:r>
        <w:rPr>
          <w:rFonts w:hint="eastAsia" w:ascii="宋体" w:hAnsi="宋体" w:eastAsia="宋体" w:cs="Times New Roman"/>
          <w:b/>
          <w:bCs w:val="0"/>
          <w:szCs w:val="21"/>
        </w:rPr>
        <w:t>（二）投保人申报的被保险人年龄不真实，致使投保人实交保险费少于应交保险费的，保险人有权更正并要求投保人补交保险费。如果已经发生保险事故，在给付保险金时按实际缴纳保险费和应交保险费的比例给付。</w:t>
      </w:r>
    </w:p>
    <w:p>
      <w:pPr>
        <w:pStyle w:val="25"/>
        <w:spacing w:beforeLines="0" w:afterLines="0" w:line="360" w:lineRule="auto"/>
        <w:ind w:left="0" w:leftChars="0" w:firstLine="420" w:firstLineChars="200"/>
        <w:outlineLvl w:val="9"/>
        <w:rPr>
          <w:rFonts w:hint="eastAsia" w:asciiTheme="minorEastAsia" w:hAnsiTheme="minorEastAsia" w:eastAsiaTheme="minorEastAsia" w:cstheme="minorEastAsia"/>
          <w:szCs w:val="21"/>
        </w:rPr>
      </w:pPr>
      <w:r>
        <w:rPr>
          <w:rFonts w:hint="eastAsia" w:ascii="宋体" w:hAnsi="宋体" w:eastAsia="宋体" w:cs="Times New Roman"/>
          <w:b w:val="0"/>
          <w:bCs/>
          <w:szCs w:val="21"/>
        </w:rPr>
        <w:t>（三）投保人申报的被保险人年龄</w:t>
      </w:r>
      <w:r>
        <w:rPr>
          <w:rFonts w:hint="eastAsia" w:ascii="宋体" w:hAnsi="宋体" w:eastAsia="宋体" w:cs="Times New Roman"/>
          <w:b w:val="0"/>
          <w:bCs/>
          <w:szCs w:val="21"/>
          <w:lang w:val="en-US" w:eastAsia="zh-CN"/>
        </w:rPr>
        <w:t>不</w:t>
      </w:r>
      <w:r>
        <w:rPr>
          <w:rFonts w:hint="eastAsia" w:ascii="宋体" w:hAnsi="宋体" w:eastAsia="宋体" w:cs="Times New Roman"/>
          <w:b w:val="0"/>
          <w:bCs/>
          <w:szCs w:val="21"/>
        </w:rPr>
        <w:t>真实，致使投保人实交保险费多于应交保险费的，保险人会将多收的保险费无息退还给投保人。</w:t>
      </w:r>
    </w:p>
    <w:p>
      <w:pPr>
        <w:pStyle w:val="25"/>
        <w:numPr>
          <w:ilvl w:val="-1"/>
          <w:numId w:val="0"/>
        </w:numPr>
        <w:tabs>
          <w:tab w:val="clear" w:pos="840"/>
        </w:tabs>
        <w:spacing w:beforeLines="0" w:afterLines="0" w:line="360" w:lineRule="auto"/>
        <w:ind w:firstLine="422" w:firstLineChars="200"/>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bCs/>
          <w:szCs w:val="21"/>
          <w:lang w:val="en-US" w:eastAsia="zh-CN"/>
        </w:rPr>
        <w:t>第十九条</w:t>
      </w:r>
      <w:r>
        <w:rPr>
          <w:rFonts w:hint="eastAsia" w:asciiTheme="minorEastAsia" w:hAnsiTheme="minorEastAsia" w:eastAsiaTheme="minorEastAsia" w:cstheme="minorEastAsia"/>
          <w:b/>
          <w:szCs w:val="21"/>
          <w:lang w:val="en-US" w:eastAsia="zh-CN"/>
        </w:rPr>
        <w:t xml:space="preserve"> </w:t>
      </w:r>
      <w:r>
        <w:rPr>
          <w:rFonts w:hint="eastAsia" w:asciiTheme="minorEastAsia" w:hAnsiTheme="minorEastAsia" w:eastAsiaTheme="minorEastAsia" w:cstheme="minorEastAsia"/>
          <w:b w:val="0"/>
          <w:bCs/>
          <w:szCs w:val="21"/>
        </w:rPr>
        <w:t>投保人住所或通讯地址变更时，应及时以书面形式通知保险人。投保人未通知的，保险人按本保险合同所载的最后住所或通讯地址发送的有关通知，均视为已发送给投保人。</w:t>
      </w:r>
    </w:p>
    <w:p>
      <w:pPr>
        <w:pStyle w:val="25"/>
        <w:numPr>
          <w:ilvl w:val="-1"/>
          <w:numId w:val="0"/>
        </w:numPr>
        <w:tabs>
          <w:tab w:val="clear" w:pos="840"/>
        </w:tabs>
        <w:spacing w:beforeLines="0" w:afterLines="0" w:line="360" w:lineRule="auto"/>
        <w:ind w:firstLine="422" w:firstLineChars="200"/>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bCs/>
          <w:szCs w:val="21"/>
          <w:lang w:val="en-US" w:eastAsia="zh-CN"/>
        </w:rPr>
        <w:t>第二十条</w:t>
      </w:r>
      <w:r>
        <w:rPr>
          <w:rFonts w:hint="eastAsia" w:asciiTheme="minorEastAsia" w:hAnsiTheme="minorEastAsia" w:eastAsiaTheme="minorEastAsia" w:cstheme="minorEastAsia"/>
          <w:b/>
          <w:szCs w:val="21"/>
          <w:lang w:val="en-US" w:eastAsia="zh-CN"/>
        </w:rPr>
        <w:t xml:space="preserve"> </w:t>
      </w:r>
      <w:r>
        <w:rPr>
          <w:rFonts w:hint="eastAsia" w:asciiTheme="minorEastAsia" w:hAnsiTheme="minorEastAsia" w:eastAsiaTheme="minorEastAsia" w:cstheme="minorEastAsia"/>
          <w:b w:val="0"/>
          <w:bCs/>
          <w:szCs w:val="21"/>
        </w:rPr>
        <w:t>团体投保时，在保险期间内，投保人因其人员变动，需增加、减少被保险人时，应以书面形式向保险人提出申请。保险人同意后出具批单，并在本保险合同中批注。</w:t>
      </w:r>
    </w:p>
    <w:p>
      <w:pPr>
        <w:pStyle w:val="25"/>
        <w:spacing w:beforeLines="0" w:afterLines="0" w:line="360" w:lineRule="auto"/>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（一）被保险人人数增加时，保险人在审核同意后，于收到申请之日的次日零时开始承担保险责任，并按约定增收未满期净保费。</w:t>
      </w:r>
    </w:p>
    <w:p>
      <w:pPr>
        <w:pStyle w:val="25"/>
        <w:spacing w:beforeLines="0" w:afterLines="0" w:line="360" w:lineRule="auto"/>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二）被保险人人数减少时，保险人在审核同意后，于收到申请之日的次日零时起，对减少的被保险人终止保险责任（如减少的被保险人属于已离职的，保险人对其所负的保险责任自其离职之日起终止），并按如下约定退还该被保险人项下的未满期</w:t>
      </w:r>
      <w:r>
        <w:rPr>
          <w:rFonts w:hint="eastAsia" w:asciiTheme="minorEastAsia" w:hAnsiTheme="minorEastAsia" w:eastAsiaTheme="minorEastAsia" w:cstheme="minorEastAsia"/>
          <w:b w:val="0"/>
          <w:szCs w:val="21"/>
          <w:lang w:val="en-US" w:eastAsia="zh-CN"/>
        </w:rPr>
        <w:t>净</w:t>
      </w:r>
      <w:r>
        <w:rPr>
          <w:rFonts w:hint="eastAsia" w:asciiTheme="minorEastAsia" w:hAnsiTheme="minorEastAsia" w:eastAsiaTheme="minorEastAsia" w:cstheme="minorEastAsia"/>
          <w:b/>
          <w:szCs w:val="21"/>
        </w:rPr>
        <w:t>保费，</w:t>
      </w:r>
      <w:r>
        <w:rPr>
          <w:rFonts w:hint="eastAsia" w:asciiTheme="minorEastAsia" w:hAnsiTheme="minorEastAsia" w:eastAsiaTheme="minorEastAsia" w:cstheme="minorEastAsia"/>
          <w:szCs w:val="21"/>
        </w:rPr>
        <w:t>但减少的被保险人本人或其保险金申请人已领取过任何保险金的，保险人不退还未满期</w:t>
      </w:r>
      <w:r>
        <w:rPr>
          <w:rFonts w:hint="eastAsia" w:asciiTheme="minorEastAsia" w:hAnsiTheme="minorEastAsia" w:eastAsiaTheme="minorEastAsia" w:cstheme="minorEastAsia"/>
          <w:szCs w:val="21"/>
          <w:lang w:val="en-US" w:eastAsia="zh-CN"/>
        </w:rPr>
        <w:t>净</w:t>
      </w:r>
      <w:r>
        <w:rPr>
          <w:rFonts w:hint="eastAsia" w:asciiTheme="minorEastAsia" w:hAnsiTheme="minorEastAsia" w:eastAsiaTheme="minorEastAsia" w:cstheme="minorEastAsia"/>
          <w:szCs w:val="21"/>
        </w:rPr>
        <w:t>保费。</w:t>
      </w:r>
    </w:p>
    <w:p>
      <w:pPr>
        <w:pStyle w:val="25"/>
        <w:numPr>
          <w:ilvl w:val="-1"/>
          <w:numId w:val="0"/>
        </w:numPr>
        <w:tabs>
          <w:tab w:val="clear" w:pos="840"/>
        </w:tabs>
        <w:spacing w:beforeLines="0" w:afterLines="0" w:line="360" w:lineRule="auto"/>
        <w:ind w:firstLine="422" w:firstLineChars="200"/>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bCs/>
          <w:szCs w:val="21"/>
          <w:lang w:val="en-US" w:eastAsia="zh-CN"/>
        </w:rPr>
        <w:t>第二十一条</w:t>
      </w:r>
      <w:r>
        <w:rPr>
          <w:rFonts w:hint="eastAsia" w:asciiTheme="minorEastAsia" w:hAnsiTheme="minorEastAsia" w:eastAsiaTheme="minorEastAsia" w:cstheme="minorEastAsia"/>
          <w:b/>
          <w:szCs w:val="21"/>
          <w:lang w:val="en-US" w:eastAsia="zh-CN"/>
        </w:rPr>
        <w:t xml:space="preserve"> </w:t>
      </w:r>
      <w:r>
        <w:rPr>
          <w:rFonts w:hint="eastAsia" w:asciiTheme="minorEastAsia" w:hAnsiTheme="minorEastAsia" w:eastAsiaTheme="minorEastAsia" w:cstheme="minorEastAsia"/>
          <w:b w:val="0"/>
          <w:bCs/>
          <w:szCs w:val="21"/>
        </w:rPr>
        <w:t>投保人、被保险人或者保险金受益人知道保险事故发生后，应当在24小时内或经保险人书面同意延长的期限内通知保险人。故意或者因重大过失未及时通知，致使保险事故的性质、原因、损失程度等难以确定的，保险人对无法确定的部分，不承担给付保险金责任，但保险人通过其他途径已经及时知道或者应当及时知道保险事故发生的除外。</w:t>
      </w:r>
    </w:p>
    <w:p>
      <w:pPr>
        <w:pStyle w:val="24"/>
        <w:spacing w:beforeLines="0" w:afterLines="0" w:line="360" w:lineRule="auto"/>
        <w:ind w:left="0" w:leftChars="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上述约定，不包括因不可抗力而导致的迟延。</w:t>
      </w:r>
    </w:p>
    <w:p>
      <w:pPr>
        <w:pStyle w:val="25"/>
        <w:spacing w:beforeLines="0" w:afterLines="0" w:line="36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保险金申请与给付</w:t>
      </w:r>
    </w:p>
    <w:p>
      <w:pPr>
        <w:pStyle w:val="25"/>
        <w:numPr>
          <w:ilvl w:val="-1"/>
          <w:numId w:val="0"/>
        </w:numPr>
        <w:tabs>
          <w:tab w:val="clear" w:pos="840"/>
        </w:tabs>
        <w:spacing w:beforeLines="0" w:afterLines="0" w:line="360" w:lineRule="auto"/>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lang w:val="en-US" w:eastAsia="zh-CN"/>
        </w:rPr>
        <w:t>第二十二条</w:t>
      </w:r>
      <w:r>
        <w:rPr>
          <w:rFonts w:hint="eastAsia" w:asciiTheme="minorEastAsia" w:hAnsiTheme="minorEastAsia" w:eastAsiaTheme="minorEastAsia" w:cstheme="minorEastAsia"/>
          <w:b/>
          <w:szCs w:val="21"/>
          <w:lang w:val="en-US" w:eastAsia="zh-CN"/>
        </w:rPr>
        <w:t xml:space="preserve"> </w:t>
      </w:r>
      <w:r>
        <w:rPr>
          <w:rFonts w:hint="eastAsia" w:asciiTheme="minorEastAsia" w:hAnsiTheme="minorEastAsia" w:eastAsiaTheme="minorEastAsia" w:cstheme="minorEastAsia"/>
          <w:b w:val="0"/>
          <w:bCs/>
          <w:szCs w:val="21"/>
        </w:rPr>
        <w:t>保险金申请人请求赔偿时，应向保险人提供以下证明和资料。保险金申请人因特殊原因不能提供以下材料的，应提供其他合法有效的材料。</w:t>
      </w:r>
      <w:r>
        <w:rPr>
          <w:rFonts w:hint="eastAsia" w:asciiTheme="minorEastAsia" w:hAnsiTheme="minorEastAsia" w:eastAsiaTheme="minorEastAsia" w:cstheme="minorEastAsia"/>
          <w:szCs w:val="21"/>
        </w:rPr>
        <w:t>保险金申请人未能提供有关材料，导致保险人无法核实的，保险人对无法核实部分不承担给付保险金的责任。</w:t>
      </w:r>
    </w:p>
    <w:p>
      <w:pPr>
        <w:pStyle w:val="25"/>
        <w:tabs>
          <w:tab w:val="clear" w:pos="840"/>
        </w:tabs>
        <w:spacing w:beforeLines="0" w:afterLines="0" w:line="360" w:lineRule="auto"/>
        <w:ind w:firstLine="420" w:firstLineChars="200"/>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（一）意外身故保险金申请</w:t>
      </w:r>
    </w:p>
    <w:p>
      <w:pPr>
        <w:pStyle w:val="24"/>
        <w:spacing w:beforeLines="0" w:afterLines="0" w:line="360" w:lineRule="auto"/>
        <w:ind w:left="0" w:leftChars="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1、保险金申请人填具的索赔申请书；</w:t>
      </w:r>
    </w:p>
    <w:p>
      <w:pPr>
        <w:pStyle w:val="24"/>
        <w:spacing w:beforeLines="0" w:afterLines="0" w:line="360" w:lineRule="auto"/>
        <w:ind w:left="0" w:leftChars="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2、保险单或其他保险凭证正本；</w:t>
      </w:r>
    </w:p>
    <w:p>
      <w:pPr>
        <w:pStyle w:val="24"/>
        <w:spacing w:beforeLines="0" w:afterLines="0" w:line="360" w:lineRule="auto"/>
        <w:ind w:left="0" w:leftChars="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3、保险金申请人的身份证明；</w:t>
      </w:r>
    </w:p>
    <w:p>
      <w:pPr>
        <w:pStyle w:val="24"/>
        <w:spacing w:beforeLines="0" w:afterLines="0" w:line="360" w:lineRule="auto"/>
        <w:ind w:left="0" w:leftChars="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公安部门或司法部门、二级以上（含二级）医院或保险人认可的医疗机构出具的被保险人死亡证明或验尸报告。若被保险人为宣告死亡，保险金申请人应提供人民法院出具的宣告死亡证明文件。如被保险人在境外身故的，需要提供中华人民共和国驻所在国使、领馆或保险事故发生地政府有关机构出具的被保险人死亡证明或验尸报告；</w:t>
      </w:r>
    </w:p>
    <w:p>
      <w:pPr>
        <w:pStyle w:val="24"/>
        <w:spacing w:beforeLines="0" w:afterLines="0" w:line="360" w:lineRule="auto"/>
        <w:ind w:left="0" w:leftChars="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5、被保险人的户籍注销证明；</w:t>
      </w:r>
    </w:p>
    <w:p>
      <w:pPr>
        <w:pStyle w:val="24"/>
        <w:spacing w:beforeLines="0" w:afterLines="0" w:line="360" w:lineRule="auto"/>
        <w:ind w:left="0" w:leftChars="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6、被保险人雇主提供的被保险人公务出差旅行的证明；</w:t>
      </w:r>
    </w:p>
    <w:p>
      <w:pPr>
        <w:pStyle w:val="24"/>
        <w:spacing w:beforeLines="0" w:afterLines="0" w:line="360" w:lineRule="auto"/>
        <w:ind w:left="0" w:leftChars="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7、保险金申请人所能提供的与确认保险事故的性质、原因、损失程度等有关的其他证明和资料。</w:t>
      </w:r>
    </w:p>
    <w:p>
      <w:pPr>
        <w:pStyle w:val="24"/>
        <w:spacing w:beforeLines="0" w:afterLines="0" w:line="360" w:lineRule="auto"/>
        <w:ind w:left="0" w:leftChars="0" w:firstLine="0"/>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（二）意外伤残保险金申请</w:t>
      </w:r>
    </w:p>
    <w:p>
      <w:pPr>
        <w:pStyle w:val="24"/>
        <w:spacing w:beforeLines="0" w:afterLines="0" w:line="360" w:lineRule="auto"/>
        <w:ind w:left="0" w:leftChars="0" w:firstLine="0"/>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1、保险金申请人填具的索赔申请书；</w:t>
      </w:r>
    </w:p>
    <w:p>
      <w:pPr>
        <w:pStyle w:val="24"/>
        <w:spacing w:beforeLines="0" w:afterLines="0" w:line="360" w:lineRule="auto"/>
        <w:ind w:left="0" w:leftChars="0" w:firstLine="0"/>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2、保险单或其他保险凭证正本；</w:t>
      </w:r>
    </w:p>
    <w:p>
      <w:pPr>
        <w:pStyle w:val="24"/>
        <w:spacing w:beforeLines="0" w:afterLines="0" w:line="360" w:lineRule="auto"/>
        <w:ind w:left="0" w:leftChars="0" w:firstLine="0"/>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3、被保险人身份证明；</w:t>
      </w:r>
    </w:p>
    <w:p>
      <w:pPr>
        <w:pStyle w:val="24"/>
        <w:spacing w:beforeLines="0" w:afterLines="0" w:line="360" w:lineRule="auto"/>
        <w:ind w:left="0" w:leftChars="0" w:firstLine="0"/>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4、司法鉴定机构根据《伤残评定行业标准》出具的被保险人身体伤残程度评定书；</w:t>
      </w:r>
    </w:p>
    <w:p>
      <w:pPr>
        <w:pStyle w:val="24"/>
        <w:spacing w:beforeLines="0" w:afterLines="0" w:line="360" w:lineRule="auto"/>
        <w:ind w:left="0" w:leftChars="0" w:firstLine="0"/>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5、保险金申请人所能提供的其他与本项申请相关的材料。</w:t>
      </w:r>
    </w:p>
    <w:p>
      <w:pPr>
        <w:pStyle w:val="24"/>
        <w:spacing w:beforeLines="0" w:afterLines="0" w:line="360" w:lineRule="auto"/>
        <w:ind w:left="0" w:leftChars="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（三）被保险人继承人作为索赔申请人索赔时，需提供公证机构出具的证明其具备继承权及所享份额等事宜的公证文件。</w:t>
      </w:r>
    </w:p>
    <w:p>
      <w:pPr>
        <w:pStyle w:val="25"/>
        <w:numPr>
          <w:ilvl w:val="-1"/>
          <w:numId w:val="0"/>
        </w:numPr>
        <w:tabs>
          <w:tab w:val="clear" w:pos="840"/>
        </w:tabs>
        <w:spacing w:beforeLines="0" w:afterLines="0" w:line="360" w:lineRule="auto"/>
        <w:ind w:firstLine="422" w:firstLineChars="200"/>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bCs/>
          <w:szCs w:val="21"/>
          <w:lang w:val="en-US" w:eastAsia="zh-CN"/>
        </w:rPr>
        <w:t>第二十三条</w:t>
      </w:r>
      <w:r>
        <w:rPr>
          <w:rFonts w:hint="eastAsia" w:asciiTheme="minorEastAsia" w:hAnsiTheme="minorEastAsia" w:eastAsiaTheme="minorEastAsia" w:cstheme="minorEastAsia"/>
          <w:b/>
          <w:szCs w:val="21"/>
          <w:lang w:val="en-US" w:eastAsia="zh-CN"/>
        </w:rPr>
        <w:t xml:space="preserve"> </w:t>
      </w:r>
      <w:r>
        <w:rPr>
          <w:rFonts w:hint="eastAsia" w:asciiTheme="minorEastAsia" w:hAnsiTheme="minorEastAsia" w:eastAsiaTheme="minorEastAsia" w:cstheme="minorEastAsia"/>
          <w:b w:val="0"/>
          <w:bCs/>
          <w:szCs w:val="21"/>
        </w:rPr>
        <w:t>保险金申请人向保险人请求给付保险金的诉讼时效期间为二年，自其知道或者应当知道保险事故发生之日起计算。</w:t>
      </w:r>
    </w:p>
    <w:p>
      <w:pPr>
        <w:pStyle w:val="25"/>
        <w:numPr>
          <w:ilvl w:val="-1"/>
          <w:numId w:val="0"/>
        </w:numPr>
        <w:tabs>
          <w:tab w:val="clear" w:pos="840"/>
        </w:tabs>
        <w:spacing w:beforeLines="0" w:afterLines="0" w:line="360" w:lineRule="auto"/>
        <w:ind w:firstLine="422" w:firstLineChars="200"/>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bCs/>
          <w:szCs w:val="21"/>
          <w:lang w:val="en-US" w:eastAsia="zh-CN"/>
        </w:rPr>
        <w:t>第二十四条</w:t>
      </w:r>
      <w:r>
        <w:rPr>
          <w:rFonts w:hint="eastAsia" w:asciiTheme="minorEastAsia" w:hAnsiTheme="minorEastAsia" w:eastAsiaTheme="minorEastAsia" w:cstheme="minorEastAsia"/>
          <w:b/>
          <w:szCs w:val="21"/>
          <w:lang w:val="en-US" w:eastAsia="zh-CN"/>
        </w:rPr>
        <w:t xml:space="preserve"> </w:t>
      </w:r>
      <w:r>
        <w:rPr>
          <w:rFonts w:hint="eastAsia" w:asciiTheme="minorEastAsia" w:hAnsiTheme="minorEastAsia" w:eastAsiaTheme="minorEastAsia" w:cstheme="minorEastAsia"/>
          <w:b w:val="0"/>
          <w:bCs/>
          <w:szCs w:val="21"/>
        </w:rPr>
        <w:t>在申请索赔期内，为对保险事故作出准确核定，保险人有权要求被保险人作身体检查或提供有关检验报告。如被保险人身故，保险人有权要求司法鉴定机构对保险事故进行鉴定。</w:t>
      </w:r>
    </w:p>
    <w:p>
      <w:pPr>
        <w:pStyle w:val="25"/>
        <w:spacing w:beforeLines="0" w:afterLines="0" w:line="36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争议处理和法律适用</w:t>
      </w:r>
    </w:p>
    <w:p>
      <w:pPr>
        <w:pStyle w:val="25"/>
        <w:numPr>
          <w:ilvl w:val="-1"/>
          <w:numId w:val="0"/>
        </w:numPr>
        <w:tabs>
          <w:tab w:val="clear" w:pos="840"/>
        </w:tabs>
        <w:spacing w:beforeLines="0" w:afterLines="0" w:line="360" w:lineRule="auto"/>
        <w:ind w:firstLine="422" w:firstLineChars="200"/>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bCs/>
          <w:szCs w:val="21"/>
          <w:lang w:val="en-US" w:eastAsia="zh-CN"/>
        </w:rPr>
        <w:t>第二十五条</w:t>
      </w:r>
      <w:r>
        <w:rPr>
          <w:rFonts w:hint="eastAsia" w:asciiTheme="minorEastAsia" w:hAnsiTheme="minorEastAsia" w:eastAsiaTheme="minorEastAsia" w:cstheme="minorEastAsia"/>
          <w:b w:val="0"/>
          <w:bCs/>
          <w:szCs w:val="21"/>
          <w:lang w:val="en-US" w:eastAsia="zh-CN"/>
        </w:rPr>
        <w:t xml:space="preserve"> </w:t>
      </w:r>
      <w:r>
        <w:rPr>
          <w:rFonts w:hint="eastAsia" w:asciiTheme="minorEastAsia" w:hAnsiTheme="minorEastAsia" w:eastAsiaTheme="minorEastAsia" w:cstheme="minorEastAsia"/>
          <w:b w:val="0"/>
          <w:bCs/>
          <w:szCs w:val="21"/>
        </w:rPr>
        <w:t>因履行本保险合同发生的争议，由当事人协商解决。协商不成的，提交保险单载明的仲裁机构仲裁；保险单未载明仲裁机构或者争议发生后未达成仲裁协议的，依法向人民法院起诉。</w:t>
      </w:r>
    </w:p>
    <w:p>
      <w:pPr>
        <w:pStyle w:val="25"/>
        <w:numPr>
          <w:ilvl w:val="-1"/>
          <w:numId w:val="0"/>
        </w:numPr>
        <w:tabs>
          <w:tab w:val="clear" w:pos="840"/>
        </w:tabs>
        <w:spacing w:beforeLines="0" w:afterLines="0" w:line="360" w:lineRule="auto"/>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bCs/>
          <w:szCs w:val="21"/>
          <w:lang w:val="en-US" w:eastAsia="zh-CN"/>
        </w:rPr>
        <w:t>第二十六条</w:t>
      </w:r>
      <w:r>
        <w:rPr>
          <w:rFonts w:hint="eastAsia" w:asciiTheme="minorEastAsia" w:hAnsiTheme="minorEastAsia" w:eastAsiaTheme="minorEastAsia" w:cstheme="minorEastAsia"/>
          <w:b w:val="0"/>
          <w:bCs/>
          <w:szCs w:val="21"/>
          <w:lang w:val="en-US" w:eastAsia="zh-CN"/>
        </w:rPr>
        <w:t xml:space="preserve"> </w:t>
      </w:r>
      <w:r>
        <w:rPr>
          <w:rFonts w:hint="eastAsia" w:asciiTheme="minorEastAsia" w:hAnsiTheme="minorEastAsia" w:eastAsiaTheme="minorEastAsia" w:cstheme="minorEastAsia"/>
          <w:b w:val="0"/>
          <w:bCs/>
          <w:szCs w:val="21"/>
        </w:rPr>
        <w:t>与本保险合同有关的以及履行本保险合同产生的一切争议处理适用中华人民共和国法律（</w:t>
      </w:r>
      <w:r>
        <w:rPr>
          <w:rFonts w:hint="eastAsia" w:asciiTheme="minorEastAsia" w:hAnsiTheme="minorEastAsia" w:eastAsiaTheme="minorEastAsia" w:cstheme="minorEastAsia"/>
          <w:b/>
          <w:szCs w:val="21"/>
        </w:rPr>
        <w:t>不包括港澳台地区法律）。</w:t>
      </w:r>
    </w:p>
    <w:p>
      <w:pPr>
        <w:pStyle w:val="25"/>
        <w:spacing w:beforeLines="0" w:afterLines="0" w:line="36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其他事项</w:t>
      </w:r>
    </w:p>
    <w:p>
      <w:pPr>
        <w:pStyle w:val="25"/>
        <w:numPr>
          <w:ilvl w:val="-1"/>
          <w:numId w:val="0"/>
        </w:numPr>
        <w:tabs>
          <w:tab w:val="clear" w:pos="840"/>
        </w:tabs>
        <w:spacing w:beforeLines="0" w:afterLines="0" w:line="360" w:lineRule="auto"/>
        <w:ind w:firstLine="422" w:firstLineChars="200"/>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bCs/>
          <w:szCs w:val="21"/>
          <w:lang w:val="en-US" w:eastAsia="zh-CN"/>
        </w:rPr>
        <w:t>第二十七条</w:t>
      </w:r>
      <w:r>
        <w:rPr>
          <w:rFonts w:hint="eastAsia" w:asciiTheme="minorEastAsia" w:hAnsiTheme="minorEastAsia" w:eastAsiaTheme="minorEastAsia" w:cstheme="minorEastAsia"/>
          <w:b/>
          <w:szCs w:val="21"/>
          <w:lang w:val="en-US" w:eastAsia="zh-CN"/>
        </w:rPr>
        <w:t xml:space="preserve"> </w:t>
      </w:r>
      <w:r>
        <w:rPr>
          <w:rFonts w:hint="eastAsia" w:asciiTheme="minorEastAsia" w:hAnsiTheme="minorEastAsia" w:eastAsiaTheme="minorEastAsia" w:cstheme="minorEastAsia"/>
          <w:b w:val="0"/>
          <w:bCs/>
          <w:szCs w:val="21"/>
        </w:rPr>
        <w:t>除</w:t>
      </w:r>
      <w:r>
        <w:rPr>
          <w:rFonts w:hint="eastAsia" w:asciiTheme="minorEastAsia" w:hAnsiTheme="minorEastAsia" w:eastAsiaTheme="minorEastAsia" w:cstheme="minorEastAsia"/>
          <w:b w:val="0"/>
          <w:bCs/>
          <w:szCs w:val="21"/>
          <w:lang w:eastAsia="zh-CN"/>
        </w:rPr>
        <w:t>本保险合同</w:t>
      </w:r>
      <w:r>
        <w:rPr>
          <w:rFonts w:hint="eastAsia" w:asciiTheme="minorEastAsia" w:hAnsiTheme="minorEastAsia" w:eastAsiaTheme="minorEastAsia" w:cstheme="minorEastAsia"/>
          <w:b w:val="0"/>
          <w:bCs/>
          <w:szCs w:val="21"/>
        </w:rPr>
        <w:t>另有约定外，经投保人和保险人协商同意后，可变更</w:t>
      </w:r>
      <w:r>
        <w:rPr>
          <w:rFonts w:hint="eastAsia" w:asciiTheme="minorEastAsia" w:hAnsiTheme="minorEastAsia" w:eastAsiaTheme="minorEastAsia" w:cstheme="minorEastAsia"/>
          <w:b w:val="0"/>
          <w:bCs/>
          <w:szCs w:val="21"/>
          <w:lang w:eastAsia="zh-CN"/>
        </w:rPr>
        <w:t>本保险合同</w:t>
      </w:r>
      <w:r>
        <w:rPr>
          <w:rFonts w:hint="eastAsia" w:asciiTheme="minorEastAsia" w:hAnsiTheme="minorEastAsia" w:eastAsiaTheme="minorEastAsia" w:cstheme="minorEastAsia"/>
          <w:b w:val="0"/>
          <w:bCs/>
          <w:szCs w:val="21"/>
        </w:rPr>
        <w:t>的有关内容。变更</w:t>
      </w:r>
      <w:r>
        <w:rPr>
          <w:rFonts w:hint="eastAsia" w:asciiTheme="minorEastAsia" w:hAnsiTheme="minorEastAsia" w:eastAsiaTheme="minorEastAsia" w:cstheme="minorEastAsia"/>
          <w:b w:val="0"/>
          <w:bCs/>
          <w:szCs w:val="21"/>
          <w:lang w:eastAsia="zh-CN"/>
        </w:rPr>
        <w:t>本保险合同</w:t>
      </w:r>
      <w:r>
        <w:rPr>
          <w:rFonts w:hint="eastAsia" w:asciiTheme="minorEastAsia" w:hAnsiTheme="minorEastAsia" w:eastAsiaTheme="minorEastAsia" w:cstheme="minorEastAsia"/>
          <w:b w:val="0"/>
          <w:bCs/>
          <w:szCs w:val="21"/>
        </w:rPr>
        <w:t>时，投保人应填写变更合同申请书，经保险人审核同意，并在</w:t>
      </w:r>
      <w:r>
        <w:rPr>
          <w:rFonts w:hint="eastAsia" w:asciiTheme="minorEastAsia" w:hAnsiTheme="minorEastAsia" w:eastAsiaTheme="minorEastAsia" w:cstheme="minorEastAsia"/>
          <w:b w:val="0"/>
          <w:bCs/>
          <w:szCs w:val="21"/>
          <w:lang w:eastAsia="zh-CN"/>
        </w:rPr>
        <w:t>本保险合同</w:t>
      </w:r>
      <w:r>
        <w:rPr>
          <w:rFonts w:hint="eastAsia" w:asciiTheme="minorEastAsia" w:hAnsiTheme="minorEastAsia" w:eastAsiaTheme="minorEastAsia" w:cstheme="minorEastAsia"/>
          <w:b w:val="0"/>
          <w:bCs/>
          <w:szCs w:val="21"/>
        </w:rPr>
        <w:t>的保险单或其它保险凭证上加以批注，或由投保人和保险人订立变更的书面协议后生效。</w:t>
      </w:r>
    </w:p>
    <w:p>
      <w:pPr>
        <w:pStyle w:val="25"/>
        <w:numPr>
          <w:ilvl w:val="-1"/>
          <w:numId w:val="0"/>
        </w:numPr>
        <w:tabs>
          <w:tab w:val="clear" w:pos="840"/>
        </w:tabs>
        <w:spacing w:beforeLines="0" w:afterLines="0" w:line="360" w:lineRule="auto"/>
        <w:ind w:firstLine="422" w:firstLineChars="200"/>
        <w:rPr>
          <w:rFonts w:hint="eastAsia" w:asciiTheme="minorEastAsia" w:hAnsiTheme="minorEastAsia" w:eastAsiaTheme="minorEastAsia" w:cstheme="minorEastAsia"/>
          <w:b/>
          <w:bCs w:val="0"/>
          <w:szCs w:val="21"/>
        </w:rPr>
      </w:pPr>
      <w:r>
        <w:rPr>
          <w:rFonts w:hint="eastAsia" w:asciiTheme="minorEastAsia" w:hAnsiTheme="minorEastAsia" w:eastAsiaTheme="minorEastAsia" w:cstheme="minorEastAsia"/>
          <w:b/>
          <w:bCs/>
          <w:szCs w:val="21"/>
          <w:lang w:val="en-US" w:eastAsia="zh-CN"/>
        </w:rPr>
        <w:t>第二十八条</w:t>
      </w:r>
      <w:r>
        <w:rPr>
          <w:rFonts w:hint="eastAsia" w:asciiTheme="minorEastAsia" w:hAnsiTheme="minorEastAsia" w:eastAsiaTheme="minorEastAsia" w:cstheme="minorEastAsia"/>
          <w:b w:val="0"/>
          <w:bCs/>
          <w:szCs w:val="21"/>
          <w:lang w:val="en-US" w:eastAsia="zh-CN"/>
        </w:rPr>
        <w:t xml:space="preserve"> </w:t>
      </w:r>
      <w:r>
        <w:rPr>
          <w:rFonts w:hint="eastAsia" w:asciiTheme="minorEastAsia" w:hAnsiTheme="minorEastAsia" w:eastAsiaTheme="minorEastAsia" w:cstheme="minorEastAsia"/>
          <w:b w:val="0"/>
          <w:bCs/>
          <w:szCs w:val="21"/>
        </w:rPr>
        <w:t>在本保险合同成立后，投保全年保障计划的，投保人可以书面形式通知保险人解除合同；投保单次保障计划的，投保人在保险期间开始前可提出解除保险合同的申请，保险期间开始后不得解除本保险合同。</w:t>
      </w:r>
      <w:r>
        <w:rPr>
          <w:rFonts w:hint="eastAsia" w:asciiTheme="minorEastAsia" w:hAnsiTheme="minorEastAsia" w:eastAsiaTheme="minorEastAsia" w:cstheme="minorEastAsia"/>
          <w:bCs w:val="0"/>
          <w:szCs w:val="21"/>
        </w:rPr>
        <w:t>保险人已根据本保险合同约定给付保险金的，投保人不得解除</w:t>
      </w:r>
      <w:r>
        <w:rPr>
          <w:rFonts w:hint="eastAsia" w:asciiTheme="minorEastAsia" w:hAnsiTheme="minorEastAsia" w:eastAsiaTheme="minorEastAsia" w:cstheme="minorEastAsia"/>
          <w:bCs w:val="0"/>
          <w:szCs w:val="21"/>
          <w:lang w:eastAsia="zh-CN"/>
        </w:rPr>
        <w:t>本保险合同</w:t>
      </w:r>
      <w:r>
        <w:rPr>
          <w:rFonts w:hint="eastAsia" w:asciiTheme="minorEastAsia" w:hAnsiTheme="minorEastAsia" w:eastAsiaTheme="minorEastAsia" w:cstheme="minorEastAsia"/>
          <w:bCs w:val="0"/>
          <w:szCs w:val="21"/>
        </w:rPr>
        <w:t>。</w:t>
      </w:r>
    </w:p>
    <w:p>
      <w:pPr>
        <w:pStyle w:val="24"/>
        <w:spacing w:beforeLines="0" w:afterLines="0" w:line="360" w:lineRule="auto"/>
        <w:ind w:left="0" w:leftChars="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投保人解除本保险合同时，应提供下列证明文件和资料：</w:t>
      </w:r>
    </w:p>
    <w:p>
      <w:pPr>
        <w:pStyle w:val="24"/>
        <w:spacing w:beforeLines="0" w:afterLines="0" w:line="360" w:lineRule="auto"/>
        <w:ind w:left="0" w:leftChars="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（一）保险合同解除申请书；</w:t>
      </w:r>
    </w:p>
    <w:p>
      <w:pPr>
        <w:pStyle w:val="24"/>
        <w:spacing w:beforeLines="0" w:afterLines="0" w:line="360" w:lineRule="auto"/>
        <w:ind w:left="0" w:leftChars="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（二）保险单原件；</w:t>
      </w:r>
    </w:p>
    <w:p>
      <w:pPr>
        <w:pStyle w:val="24"/>
        <w:spacing w:beforeLines="0" w:afterLines="0" w:line="360" w:lineRule="auto"/>
        <w:ind w:left="0" w:leftChars="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（三）保险费交付凭证；</w:t>
      </w:r>
    </w:p>
    <w:p>
      <w:pPr>
        <w:pStyle w:val="24"/>
        <w:spacing w:beforeLines="0" w:afterLines="0" w:line="360" w:lineRule="auto"/>
        <w:ind w:left="0" w:leftChars="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（四）投保人身份证明；</w:t>
      </w:r>
    </w:p>
    <w:p>
      <w:pPr>
        <w:pStyle w:val="24"/>
        <w:spacing w:beforeLines="0" w:afterLines="0" w:line="360" w:lineRule="auto"/>
        <w:ind w:left="0" w:leftChars="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（五）保险人需要的其它有关文件和资料。</w:t>
      </w:r>
    </w:p>
    <w:p>
      <w:pPr>
        <w:pStyle w:val="24"/>
        <w:spacing w:beforeLines="0" w:afterLines="0" w:line="360" w:lineRule="auto"/>
        <w:ind w:left="0" w:leftChars="0" w:firstLine="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投保人要求解除本保险合同，自保险人接到保险合同解除申请书之时起，本保险合同的效力终止。</w:t>
      </w:r>
      <w:r>
        <w:rPr>
          <w:rFonts w:hint="eastAsia" w:asciiTheme="minorEastAsia" w:hAnsiTheme="minorEastAsia" w:eastAsiaTheme="minorEastAsia" w:cstheme="minorEastAsia"/>
          <w:b w:val="0"/>
          <w:bCs w:val="0"/>
          <w:szCs w:val="21"/>
        </w:rPr>
        <w:t>保险人收到上述证明文件和资料之日起30日内退还</w:t>
      </w:r>
      <w:r>
        <w:rPr>
          <w:rFonts w:hint="eastAsia" w:asciiTheme="minorEastAsia" w:hAnsiTheme="minorEastAsia" w:eastAsiaTheme="minorEastAsia" w:cstheme="minorEastAsia"/>
          <w:b w:val="0"/>
          <w:bCs w:val="0"/>
          <w:szCs w:val="21"/>
          <w:lang w:val="en-US" w:eastAsia="zh-CN"/>
        </w:rPr>
        <w:t>未满期</w:t>
      </w:r>
      <w:r>
        <w:rPr>
          <w:rFonts w:hint="eastAsia" w:asciiTheme="minorEastAsia" w:hAnsiTheme="minorEastAsia" w:eastAsiaTheme="minorEastAsia" w:cstheme="minorEastAsia"/>
          <w:b w:val="0"/>
          <w:bCs w:val="0"/>
          <w:szCs w:val="21"/>
          <w:lang w:val="en-US" w:eastAsia="zh-CN"/>
        </w:rPr>
        <w:t>净</w:t>
      </w:r>
      <w:r>
        <w:rPr>
          <w:rFonts w:hint="eastAsia" w:asciiTheme="minorEastAsia" w:hAnsiTheme="minorEastAsia" w:eastAsiaTheme="minorEastAsia" w:cstheme="minorEastAsia"/>
          <w:b w:val="0"/>
          <w:bCs w:val="0"/>
          <w:szCs w:val="21"/>
        </w:rPr>
        <w:t>保费</w:t>
      </w:r>
      <w:r>
        <w:rPr>
          <w:rFonts w:hint="eastAsia" w:asciiTheme="minorEastAsia" w:hAnsiTheme="minorEastAsia" w:eastAsiaTheme="minorEastAsia" w:cstheme="minorEastAsia"/>
          <w:b w:val="0"/>
          <w:bCs w:val="0"/>
          <w:szCs w:val="21"/>
          <w:lang w:eastAsia="zh-CN"/>
        </w:rPr>
        <w:t>。</w:t>
      </w:r>
    </w:p>
    <w:p>
      <w:pPr>
        <w:pStyle w:val="25"/>
        <w:numPr>
          <w:ilvl w:val="-1"/>
          <w:numId w:val="0"/>
        </w:numPr>
        <w:tabs>
          <w:tab w:val="clear" w:pos="840"/>
        </w:tabs>
        <w:spacing w:beforeLines="0" w:afterLines="0" w:line="360" w:lineRule="auto"/>
        <w:ind w:firstLine="422" w:firstLineChars="200"/>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bCs/>
          <w:szCs w:val="21"/>
          <w:lang w:val="en-US" w:eastAsia="zh-CN"/>
        </w:rPr>
        <w:t>第二十九条</w:t>
      </w:r>
      <w:r>
        <w:rPr>
          <w:rFonts w:hint="eastAsia" w:asciiTheme="minorEastAsia" w:hAnsiTheme="minorEastAsia" w:eastAsiaTheme="minorEastAsia" w:cstheme="minorEastAsia"/>
          <w:b/>
          <w:szCs w:val="21"/>
          <w:lang w:val="en-US" w:eastAsia="zh-CN"/>
        </w:rPr>
        <w:t xml:space="preserve"> </w:t>
      </w:r>
      <w:r>
        <w:rPr>
          <w:rFonts w:hint="eastAsia" w:asciiTheme="minorEastAsia" w:hAnsiTheme="minorEastAsia" w:eastAsiaTheme="minorEastAsia" w:cstheme="minorEastAsia"/>
          <w:b w:val="0"/>
          <w:bCs/>
          <w:szCs w:val="21"/>
        </w:rPr>
        <w:t>本保险合同涉及的外币与人民币的汇率，以结算当日中国人民银行公布的外汇汇率为准。</w:t>
      </w:r>
    </w:p>
    <w:p>
      <w:pPr>
        <w:pStyle w:val="25"/>
        <w:spacing w:beforeLines="0" w:afterLines="0" w:line="36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释义</w:t>
      </w:r>
    </w:p>
    <w:p>
      <w:pPr>
        <w:pStyle w:val="24"/>
        <w:spacing w:beforeLines="0" w:afterLines="0" w:line="360" w:lineRule="auto"/>
        <w:ind w:left="0" w:leftChars="0" w:firstLine="0"/>
        <w:rPr>
          <w:rFonts w:hint="eastAsia" w:asciiTheme="minorEastAsia" w:hAnsiTheme="minorEastAsia" w:eastAsiaTheme="minorEastAsia" w:cstheme="minorEastAsia"/>
          <w:szCs w:val="21"/>
        </w:rPr>
      </w:pPr>
      <w:r>
        <w:rPr>
          <w:rStyle w:val="74"/>
          <w:rFonts w:hint="eastAsia" w:asciiTheme="minorEastAsia" w:hAnsiTheme="minorEastAsia" w:eastAsiaTheme="minorEastAsia" w:cstheme="minorEastAsia"/>
          <w:sz w:val="21"/>
          <w:szCs w:val="21"/>
        </w:rPr>
        <w:t>1、周岁</w:t>
      </w:r>
      <w:r>
        <w:rPr>
          <w:rFonts w:hint="eastAsia" w:asciiTheme="minorEastAsia" w:hAnsiTheme="minorEastAsia" w:eastAsiaTheme="minorEastAsia" w:cstheme="minorEastAsia"/>
          <w:szCs w:val="21"/>
        </w:rPr>
        <w:t>：以法定身份证明文件中记载的出生日期为基础计算的实足年龄。</w:t>
      </w:r>
    </w:p>
    <w:p>
      <w:pPr>
        <w:pStyle w:val="24"/>
        <w:spacing w:beforeLines="0" w:afterLines="0" w:line="360" w:lineRule="auto"/>
        <w:ind w:left="0" w:leftChars="0" w:firstLine="0"/>
        <w:rPr>
          <w:rFonts w:hint="eastAsia" w:asciiTheme="minorEastAsia" w:hAnsiTheme="minorEastAsia" w:eastAsiaTheme="minorEastAsia" w:cstheme="minorEastAsia"/>
          <w:szCs w:val="21"/>
        </w:rPr>
      </w:pPr>
      <w:r>
        <w:rPr>
          <w:rStyle w:val="74"/>
          <w:rFonts w:hint="eastAsia" w:asciiTheme="minorEastAsia" w:hAnsiTheme="minorEastAsia" w:eastAsiaTheme="minorEastAsia" w:cstheme="minorEastAsia"/>
          <w:sz w:val="21"/>
          <w:szCs w:val="21"/>
        </w:rPr>
        <w:t>2、商务旅行：</w:t>
      </w:r>
      <w:r>
        <w:rPr>
          <w:rFonts w:hint="eastAsia" w:asciiTheme="minorEastAsia" w:hAnsiTheme="minorEastAsia" w:eastAsiaTheme="minorEastAsia" w:cstheme="minorEastAsia"/>
          <w:szCs w:val="21"/>
        </w:rPr>
        <w:t>是指被保险人经其雇主委派及支付该次商务旅行的费用，从事以商务为目的的旅行。商务旅行并不包括被保险人往来其日常居住地与日常工作地或被保险人的个人旅游或旅行，但紧接在商务旅行前或后的个人旅游则可包括在内。</w:t>
      </w:r>
    </w:p>
    <w:p>
      <w:pPr>
        <w:pStyle w:val="24"/>
        <w:spacing w:beforeLines="0" w:afterLines="0" w:line="360" w:lineRule="auto"/>
        <w:ind w:left="0" w:leftChars="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境外商务旅行：指被保险人旅行目的地在中华人民共和国大陆地区以外的国家和地区，包括香港特别行政区、澳门特别行政区及台湾</w:t>
      </w:r>
      <w:r>
        <w:rPr>
          <w:rFonts w:hint="eastAsia" w:asciiTheme="minorEastAsia" w:hAnsiTheme="minorEastAsia" w:eastAsiaTheme="minorEastAsia" w:cstheme="minorEastAsia"/>
          <w:szCs w:val="21"/>
          <w:lang w:val="en-US" w:eastAsia="zh-CN"/>
        </w:rPr>
        <w:t>地区</w:t>
      </w:r>
      <w:r>
        <w:rPr>
          <w:rFonts w:hint="eastAsia" w:asciiTheme="minorEastAsia" w:hAnsiTheme="minorEastAsia" w:eastAsiaTheme="minorEastAsia" w:cstheme="minorEastAsia"/>
          <w:szCs w:val="21"/>
        </w:rPr>
        <w:t>的旅行。</w:t>
      </w:r>
    </w:p>
    <w:p>
      <w:pPr>
        <w:pStyle w:val="24"/>
        <w:spacing w:beforeLines="0" w:afterLines="0" w:line="360" w:lineRule="auto"/>
        <w:ind w:left="0" w:leftChars="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境内商务旅行：指被保险人在中华人民共和国大陆地区以内（不含香港特别行政区、澳门特别行政区及台湾</w:t>
      </w:r>
      <w:r>
        <w:rPr>
          <w:rFonts w:hint="eastAsia" w:asciiTheme="minorEastAsia" w:hAnsiTheme="minorEastAsia" w:eastAsiaTheme="minorEastAsia" w:cstheme="minorEastAsia"/>
          <w:szCs w:val="21"/>
          <w:lang w:val="en-US" w:eastAsia="zh-CN"/>
        </w:rPr>
        <w:t>地区</w:t>
      </w:r>
      <w:r>
        <w:rPr>
          <w:rFonts w:hint="eastAsia" w:asciiTheme="minorEastAsia" w:hAnsiTheme="minorEastAsia" w:eastAsiaTheme="minorEastAsia" w:cstheme="minorEastAsia"/>
          <w:szCs w:val="21"/>
        </w:rPr>
        <w:t>）进行的商务旅行。但其目的地须离开被保险人境内日常居住地或工作单位所在地的行政区域管辖范围。</w:t>
      </w:r>
    </w:p>
    <w:p>
      <w:pPr>
        <w:pStyle w:val="24"/>
        <w:spacing w:beforeLines="0" w:afterLines="0" w:line="360" w:lineRule="auto"/>
        <w:ind w:left="0" w:leftChars="0" w:firstLine="0"/>
        <w:rPr>
          <w:rFonts w:hint="eastAsia" w:asciiTheme="minorEastAsia" w:hAnsiTheme="minorEastAsia" w:eastAsiaTheme="minorEastAsia" w:cstheme="minorEastAsia"/>
          <w:bCs/>
          <w:szCs w:val="21"/>
        </w:rPr>
      </w:pPr>
      <w:r>
        <w:rPr>
          <w:rStyle w:val="74"/>
          <w:rFonts w:hint="eastAsia" w:asciiTheme="minorEastAsia" w:hAnsiTheme="minorEastAsia" w:eastAsiaTheme="minorEastAsia" w:cstheme="minorEastAsia"/>
          <w:sz w:val="21"/>
          <w:szCs w:val="21"/>
        </w:rPr>
        <w:t>3、保险人</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rPr>
        <w:t>指与投保人签订本保险合同的太平财产保险有限公司及分支机构。</w:t>
      </w:r>
    </w:p>
    <w:p>
      <w:pPr>
        <w:pStyle w:val="24"/>
        <w:spacing w:beforeLines="0" w:afterLines="0" w:line="360" w:lineRule="auto"/>
        <w:ind w:left="0" w:leftChars="0" w:firstLine="0"/>
        <w:rPr>
          <w:rFonts w:hint="eastAsia" w:asciiTheme="minorEastAsia" w:hAnsiTheme="minorEastAsia" w:eastAsiaTheme="minorEastAsia" w:cstheme="minorEastAsia"/>
          <w:b/>
          <w:szCs w:val="21"/>
        </w:rPr>
      </w:pPr>
      <w:r>
        <w:rPr>
          <w:rStyle w:val="74"/>
          <w:rFonts w:hint="eastAsia" w:asciiTheme="minorEastAsia" w:hAnsiTheme="minorEastAsia" w:eastAsiaTheme="minorEastAsia" w:cstheme="minorEastAsia"/>
          <w:sz w:val="21"/>
          <w:szCs w:val="21"/>
        </w:rPr>
        <w:t>4、意外伤害：</w:t>
      </w:r>
      <w:r>
        <w:rPr>
          <w:rFonts w:hint="eastAsia" w:asciiTheme="minorEastAsia" w:hAnsiTheme="minorEastAsia" w:eastAsiaTheme="minorEastAsia" w:cstheme="minorEastAsia"/>
          <w:szCs w:val="21"/>
        </w:rPr>
        <w:t>指以外来的、突发的、非本意的和非疾病的客观事件为直接且单独的原因致使身体受到的伤害。</w:t>
      </w:r>
    </w:p>
    <w:p>
      <w:pPr>
        <w:pStyle w:val="24"/>
        <w:spacing w:beforeLines="0" w:afterLines="0" w:line="360" w:lineRule="auto"/>
        <w:ind w:left="0" w:leftChars="0" w:firstLine="0"/>
        <w:rPr>
          <w:rFonts w:hint="eastAsia" w:asciiTheme="minorEastAsia" w:hAnsiTheme="minorEastAsia" w:eastAsiaTheme="minorEastAsia" w:cstheme="minorEastAsia"/>
          <w:b/>
          <w:szCs w:val="21"/>
        </w:rPr>
      </w:pPr>
      <w:r>
        <w:rPr>
          <w:rStyle w:val="74"/>
          <w:rFonts w:hint="eastAsia" w:asciiTheme="minorEastAsia" w:hAnsiTheme="minorEastAsia" w:eastAsiaTheme="minorEastAsia" w:cstheme="minorEastAsia"/>
          <w:sz w:val="21"/>
          <w:szCs w:val="21"/>
        </w:rPr>
        <w:t>5、保险事故：</w:t>
      </w:r>
      <w:r>
        <w:rPr>
          <w:rFonts w:hint="eastAsia" w:asciiTheme="minorEastAsia" w:hAnsiTheme="minorEastAsia" w:eastAsiaTheme="minorEastAsia" w:cstheme="minorEastAsia"/>
          <w:szCs w:val="21"/>
        </w:rPr>
        <w:t>指</w:t>
      </w:r>
      <w:r>
        <w:rPr>
          <w:rFonts w:hint="eastAsia" w:asciiTheme="minorEastAsia" w:hAnsiTheme="minorEastAsia" w:eastAsiaTheme="minorEastAsia" w:cstheme="minorEastAsia"/>
          <w:szCs w:val="21"/>
          <w:lang w:eastAsia="zh-CN"/>
        </w:rPr>
        <w:t>本保险合同</w:t>
      </w:r>
      <w:r>
        <w:rPr>
          <w:rFonts w:hint="eastAsia" w:asciiTheme="minorEastAsia" w:hAnsiTheme="minorEastAsia" w:eastAsiaTheme="minorEastAsia" w:cstheme="minorEastAsia"/>
          <w:szCs w:val="21"/>
        </w:rPr>
        <w:t>约定的保险责任范围内的事故。</w:t>
      </w:r>
    </w:p>
    <w:p>
      <w:pPr>
        <w:pStyle w:val="24"/>
        <w:spacing w:beforeLines="0" w:afterLines="0" w:line="360" w:lineRule="auto"/>
        <w:ind w:left="0" w:leftChars="0" w:firstLine="0"/>
        <w:rPr>
          <w:rFonts w:hint="eastAsia" w:asciiTheme="minorEastAsia" w:hAnsiTheme="minorEastAsia" w:eastAsiaTheme="minorEastAsia" w:cstheme="minorEastAsia"/>
          <w:szCs w:val="21"/>
        </w:rPr>
      </w:pPr>
      <w:r>
        <w:rPr>
          <w:rStyle w:val="74"/>
          <w:rFonts w:hint="eastAsia" w:asciiTheme="minorEastAsia" w:hAnsiTheme="minorEastAsia" w:eastAsiaTheme="minorEastAsia" w:cstheme="minorEastAsia"/>
          <w:sz w:val="21"/>
          <w:szCs w:val="21"/>
        </w:rPr>
        <w:t>6、一次事故：</w:t>
      </w:r>
      <w:r>
        <w:rPr>
          <w:rFonts w:hint="eastAsia" w:asciiTheme="minorEastAsia" w:hAnsiTheme="minorEastAsia" w:eastAsiaTheme="minorEastAsia" w:cstheme="minorEastAsia"/>
          <w:bCs/>
          <w:szCs w:val="21"/>
        </w:rPr>
        <w:t>指同一次事故或由同一原因（同一事件）引起的一系列事故(不论是涉及一人或多人)。</w:t>
      </w:r>
    </w:p>
    <w:p>
      <w:pPr>
        <w:pStyle w:val="24"/>
        <w:tabs>
          <w:tab w:val="left" w:pos="864"/>
        </w:tabs>
        <w:spacing w:beforeLines="0" w:afterLines="0" w:line="360" w:lineRule="auto"/>
        <w:ind w:left="0" w:leftChars="0" w:firstLine="0"/>
        <w:rPr>
          <w:rFonts w:hint="eastAsia" w:asciiTheme="minorEastAsia" w:hAnsiTheme="minorEastAsia" w:eastAsiaTheme="minorEastAsia" w:cstheme="minorEastAsia"/>
          <w:szCs w:val="21"/>
        </w:rPr>
      </w:pPr>
      <w:r>
        <w:rPr>
          <w:rStyle w:val="74"/>
          <w:rFonts w:hint="eastAsia" w:asciiTheme="minorEastAsia" w:hAnsiTheme="minorEastAsia" w:eastAsiaTheme="minorEastAsia" w:cstheme="minorEastAsia"/>
          <w:sz w:val="21"/>
          <w:szCs w:val="21"/>
        </w:rPr>
        <w:t>7、食物中毒：</w:t>
      </w:r>
      <w:r>
        <w:rPr>
          <w:rFonts w:hint="eastAsia" w:asciiTheme="minorEastAsia" w:hAnsiTheme="minorEastAsia" w:eastAsiaTheme="minorEastAsia" w:cstheme="minorEastAsia"/>
          <w:szCs w:val="21"/>
        </w:rPr>
        <w:t>根据1994年卫生部颁发的《食物中毒诊断标准及技术处理总则》(B14938-94)，食物中毒是指摄入了含有生物性、化学性有毒有害物质的食品或者把有毒有害物质当作食品摄入后出现的非传染性(不属于传染病)的急性、亚急性疾病，属于食源性疾病的范畴。</w:t>
      </w:r>
    </w:p>
    <w:p>
      <w:pPr>
        <w:pStyle w:val="24"/>
        <w:tabs>
          <w:tab w:val="left" w:pos="864"/>
          <w:tab w:val="left" w:pos="2100"/>
        </w:tabs>
        <w:spacing w:beforeLines="0" w:afterLines="0" w:line="360" w:lineRule="auto"/>
        <w:ind w:left="0" w:leftChars="0" w:firstLine="0"/>
        <w:rPr>
          <w:rFonts w:hint="eastAsia" w:asciiTheme="minorEastAsia" w:hAnsiTheme="minorEastAsia" w:eastAsiaTheme="minorEastAsia" w:cstheme="minorEastAsia"/>
          <w:szCs w:val="21"/>
        </w:rPr>
      </w:pPr>
      <w:r>
        <w:rPr>
          <w:rStyle w:val="74"/>
          <w:rFonts w:hint="eastAsia" w:asciiTheme="minorEastAsia" w:hAnsiTheme="minorEastAsia" w:eastAsiaTheme="minorEastAsia" w:cstheme="minorEastAsia"/>
          <w:sz w:val="21"/>
          <w:szCs w:val="21"/>
        </w:rPr>
        <w:t>8、高原反应：</w:t>
      </w:r>
      <w:r>
        <w:rPr>
          <w:rFonts w:hint="eastAsia" w:asciiTheme="minorEastAsia" w:hAnsiTheme="minorEastAsia" w:eastAsiaTheme="minorEastAsia" w:cstheme="minorEastAsia"/>
          <w:szCs w:val="21"/>
        </w:rPr>
        <w:t>是指人到达一定海拔高度后，身体为适应因海拔高度而造成的气压差、含氧量少、空气干燥等的变化，而产生的自然生理反应。</w:t>
      </w:r>
    </w:p>
    <w:p>
      <w:pPr>
        <w:pStyle w:val="24"/>
        <w:tabs>
          <w:tab w:val="left" w:pos="864"/>
          <w:tab w:val="left" w:pos="2100"/>
        </w:tabs>
        <w:spacing w:beforeLines="0" w:afterLines="0" w:line="360" w:lineRule="auto"/>
        <w:ind w:left="0" w:leftChars="0" w:firstLine="0"/>
        <w:rPr>
          <w:rFonts w:hint="eastAsia" w:asciiTheme="minorEastAsia" w:hAnsiTheme="minorEastAsia" w:eastAsiaTheme="minorEastAsia" w:cstheme="minorEastAsia"/>
          <w:szCs w:val="21"/>
        </w:rPr>
      </w:pPr>
      <w:r>
        <w:rPr>
          <w:rStyle w:val="74"/>
          <w:rFonts w:hint="eastAsia" w:asciiTheme="minorEastAsia" w:hAnsiTheme="minorEastAsia" w:eastAsiaTheme="minorEastAsia" w:cstheme="minorEastAsia"/>
          <w:sz w:val="21"/>
          <w:szCs w:val="21"/>
        </w:rPr>
        <w:t>9、中暑：</w:t>
      </w:r>
      <w:r>
        <w:rPr>
          <w:rFonts w:hint="eastAsia" w:asciiTheme="minorEastAsia" w:hAnsiTheme="minorEastAsia" w:eastAsiaTheme="minorEastAsia" w:cstheme="minorEastAsia"/>
          <w:szCs w:val="21"/>
        </w:rPr>
        <w:t>是指在高温环境下人体体温调节功能紊乱而引起的中枢神经系统和循环系统障碍为主要表现的急性疾病。</w:t>
      </w:r>
    </w:p>
    <w:p>
      <w:pPr>
        <w:pStyle w:val="24"/>
        <w:spacing w:beforeLines="0" w:afterLines="0" w:line="360" w:lineRule="auto"/>
        <w:ind w:left="0" w:leftChars="0" w:firstLine="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10、猝死：</w:t>
      </w:r>
      <w:r>
        <w:rPr>
          <w:rFonts w:hint="eastAsia" w:asciiTheme="minorEastAsia" w:hAnsiTheme="minorEastAsia" w:eastAsiaTheme="minorEastAsia" w:cstheme="minorEastAsia"/>
          <w:bCs/>
          <w:szCs w:val="21"/>
        </w:rPr>
        <w:t>指表面健康的人因潜在疾病、机能障碍或其他原因在出现症状后24小时内发生的非暴力性突然死亡。</w:t>
      </w:r>
    </w:p>
    <w:p>
      <w:pPr>
        <w:pStyle w:val="24"/>
        <w:spacing w:beforeLines="0" w:afterLines="0" w:line="360" w:lineRule="auto"/>
        <w:ind w:left="0" w:leftChars="0" w:firstLine="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11、醉酒：</w:t>
      </w:r>
      <w:r>
        <w:rPr>
          <w:rFonts w:hint="eastAsia" w:asciiTheme="minorEastAsia" w:hAnsiTheme="minorEastAsia" w:eastAsiaTheme="minorEastAsia" w:cstheme="minorEastAsia"/>
          <w:bCs/>
          <w:szCs w:val="21"/>
        </w:rPr>
        <w:t>每100毫升血液中酒精含量达到和超过80毫克即为醉酒。</w:t>
      </w:r>
    </w:p>
    <w:p>
      <w:pPr>
        <w:pStyle w:val="24"/>
        <w:adjustRightInd w:val="0"/>
        <w:snapToGrid w:val="0"/>
        <w:spacing w:beforeLines="0" w:afterLines="0" w:line="360" w:lineRule="auto"/>
        <w:ind w:left="0" w:leftChars="0" w:firstLine="422"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12、酒后驾车</w:t>
      </w:r>
      <w:r>
        <w:rPr>
          <w:rFonts w:hint="eastAsia" w:asciiTheme="minorEastAsia" w:hAnsiTheme="minorEastAsia" w:eastAsiaTheme="minorEastAsia" w:cstheme="minorEastAsia"/>
          <w:b/>
          <w:bCs/>
          <w:szCs w:val="21"/>
          <w:lang w:eastAsia="zh-CN"/>
        </w:rPr>
        <w:t>：</w:t>
      </w:r>
      <w:r>
        <w:rPr>
          <w:rFonts w:hint="eastAsia" w:asciiTheme="minorEastAsia" w:hAnsiTheme="minorEastAsia" w:eastAsiaTheme="minorEastAsia" w:cstheme="minorEastAsia"/>
          <w:szCs w:val="21"/>
        </w:rPr>
        <w:t>指经检测或鉴定，发生事故时车辆驾驶人员每百毫升血液中的酒精含量达到或超过一定的标准，公安机关交通管理部门依据《道路交通安全法》的规定认定为饮酒后驾驶或醉酒后驾驶。</w:t>
      </w:r>
    </w:p>
    <w:p>
      <w:pPr>
        <w:pStyle w:val="24"/>
        <w:spacing w:beforeLines="0" w:afterLines="0" w:line="360" w:lineRule="auto"/>
        <w:ind w:left="0" w:leftChars="0" w:firstLine="0"/>
        <w:rPr>
          <w:rFonts w:hint="eastAsia" w:asciiTheme="minorEastAsia" w:hAnsiTheme="minorEastAsia" w:eastAsiaTheme="minorEastAsia" w:cstheme="minorEastAsia"/>
          <w:szCs w:val="21"/>
        </w:rPr>
      </w:pPr>
      <w:r>
        <w:rPr>
          <w:rStyle w:val="74"/>
          <w:rFonts w:hint="eastAsia" w:asciiTheme="minorEastAsia" w:hAnsiTheme="minorEastAsia" w:eastAsiaTheme="minorEastAsia" w:cstheme="minorEastAsia"/>
          <w:sz w:val="21"/>
          <w:szCs w:val="21"/>
        </w:rPr>
        <w:t>13、无有</w:t>
      </w:r>
      <w:r>
        <w:rPr>
          <w:rFonts w:hint="eastAsia" w:asciiTheme="minorEastAsia" w:hAnsiTheme="minorEastAsia" w:eastAsiaTheme="minorEastAsia" w:cstheme="minorEastAsia"/>
          <w:b/>
          <w:szCs w:val="21"/>
        </w:rPr>
        <w:t>效驾驶证</w:t>
      </w:r>
      <w:r>
        <w:rPr>
          <w:rFonts w:hint="eastAsia" w:asciiTheme="minorEastAsia" w:hAnsiTheme="minorEastAsia" w:eastAsiaTheme="minorEastAsia" w:cstheme="minorEastAsia"/>
          <w:b/>
          <w:szCs w:val="21"/>
          <w:lang w:eastAsia="zh-CN"/>
        </w:rPr>
        <w:t>：</w:t>
      </w:r>
      <w:r>
        <w:rPr>
          <w:rFonts w:hint="eastAsia" w:asciiTheme="minorEastAsia" w:hAnsiTheme="minorEastAsia" w:eastAsiaTheme="minorEastAsia" w:cstheme="minorEastAsia"/>
          <w:szCs w:val="21"/>
        </w:rPr>
        <w:t>被保险人存在下列情形之一者：</w:t>
      </w:r>
    </w:p>
    <w:p>
      <w:pPr>
        <w:pStyle w:val="24"/>
        <w:spacing w:beforeLines="0" w:afterLines="0" w:line="360" w:lineRule="auto"/>
        <w:ind w:left="0" w:leftChars="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（1）无驾驶证或驾驶证有效期已届满；</w:t>
      </w:r>
    </w:p>
    <w:p>
      <w:pPr>
        <w:pStyle w:val="24"/>
        <w:spacing w:beforeLines="0" w:afterLines="0" w:line="360" w:lineRule="auto"/>
        <w:ind w:left="0" w:leftChars="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（2）驾驶的机动车与驾驶证载明的准驾车型不符；</w:t>
      </w:r>
    </w:p>
    <w:p>
      <w:pPr>
        <w:pStyle w:val="24"/>
        <w:spacing w:beforeLines="0" w:afterLines="0" w:line="360" w:lineRule="auto"/>
        <w:ind w:left="0" w:leftChars="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（3）实习期内驾驶公共汽车、营运客车或者载有爆炸物品、易燃易爆化学物品、剧毒或者放射性等危险物品的机动车，实习期内驾驶的机动车牵引挂车；</w:t>
      </w:r>
    </w:p>
    <w:p>
      <w:pPr>
        <w:pStyle w:val="24"/>
        <w:spacing w:beforeLines="0" w:afterLines="0" w:line="360" w:lineRule="auto"/>
        <w:ind w:left="0" w:leftChars="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（4）持未按规定审验的驾驶证，以及在暂扣、扣留、吊销、注销驾驶证期间驾驶机动车；</w:t>
      </w:r>
    </w:p>
    <w:p>
      <w:pPr>
        <w:pStyle w:val="24"/>
        <w:spacing w:beforeLines="0" w:afterLines="0" w:line="360" w:lineRule="auto"/>
        <w:ind w:left="0" w:leftChars="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（5）使用各种专用机械车、特种车的人员无国家有关部门核发的有效操作证，驾驶营业性客车的驾驶人无国家有关部门核发的有效资格证书；</w:t>
      </w:r>
    </w:p>
    <w:p>
      <w:pPr>
        <w:pStyle w:val="24"/>
        <w:spacing w:beforeLines="0" w:afterLines="0" w:line="360" w:lineRule="auto"/>
        <w:ind w:left="0" w:leftChars="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（6）依照法律法规或公安机关交通管理部门有关规定不允许驾驶机动车的其他情况下驾车。</w:t>
      </w:r>
    </w:p>
    <w:p>
      <w:pPr>
        <w:pStyle w:val="24"/>
        <w:spacing w:beforeLines="0" w:afterLines="0" w:line="360" w:lineRule="auto"/>
        <w:ind w:left="0" w:leftChars="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14、无有效行驶证</w:t>
      </w:r>
      <w:r>
        <w:rPr>
          <w:rFonts w:hint="eastAsia" w:asciiTheme="minorEastAsia" w:hAnsiTheme="minorEastAsia" w:eastAsiaTheme="minorEastAsia" w:cstheme="minorEastAsia"/>
          <w:b/>
          <w:szCs w:val="21"/>
          <w:lang w:eastAsia="zh-CN"/>
        </w:rPr>
        <w:t>：</w:t>
      </w:r>
      <w:r>
        <w:rPr>
          <w:rFonts w:hint="eastAsia" w:asciiTheme="minorEastAsia" w:hAnsiTheme="minorEastAsia" w:eastAsiaTheme="minorEastAsia" w:cstheme="minorEastAsia"/>
          <w:szCs w:val="21"/>
        </w:rPr>
        <w:t>指下列情形之一：</w:t>
      </w:r>
    </w:p>
    <w:p>
      <w:pPr>
        <w:pStyle w:val="24"/>
        <w:spacing w:beforeLines="0" w:afterLines="0" w:line="360" w:lineRule="auto"/>
        <w:ind w:left="0" w:leftChars="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（1）机动车被依法注销登记的；</w:t>
      </w:r>
    </w:p>
    <w:p>
      <w:pPr>
        <w:pStyle w:val="24"/>
        <w:spacing w:beforeLines="0" w:afterLines="0" w:line="360" w:lineRule="auto"/>
        <w:ind w:left="0" w:leftChars="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（2）无公安机关交通管理部门核发的行驶证、号牌，或临时号牌或临时移动证的机动交通工具</w:t>
      </w:r>
    </w:p>
    <w:p>
      <w:pPr>
        <w:pStyle w:val="24"/>
        <w:spacing w:beforeLines="0" w:afterLines="0" w:line="360" w:lineRule="auto"/>
        <w:ind w:left="0" w:leftChars="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（3）未在规定检验期限内进行机动车安全技术检验或检验未通过的机动交通工具。未依法按时进行或通过机动车安全技术检验。</w:t>
      </w:r>
    </w:p>
    <w:p>
      <w:pPr>
        <w:pStyle w:val="24"/>
        <w:spacing w:beforeLines="0" w:afterLines="0" w:line="360" w:lineRule="auto"/>
        <w:ind w:left="0" w:leftChars="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15、高风险运动</w:t>
      </w:r>
      <w:r>
        <w:rPr>
          <w:rFonts w:hint="eastAsia" w:asciiTheme="minorEastAsia" w:hAnsiTheme="minorEastAsia" w:eastAsiaTheme="minorEastAsia" w:cstheme="minorEastAsia"/>
          <w:b/>
          <w:bCs/>
          <w:szCs w:val="21"/>
          <w:lang w:eastAsia="zh-CN"/>
        </w:rPr>
        <w:t>：</w:t>
      </w:r>
      <w:r>
        <w:rPr>
          <w:rFonts w:hint="eastAsia" w:asciiTheme="minorEastAsia" w:hAnsiTheme="minorEastAsia" w:eastAsiaTheme="minorEastAsia" w:cstheme="minorEastAsia"/>
          <w:szCs w:val="21"/>
        </w:rPr>
        <w:t>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包括但不限于潜水，滑水，滑雪，滑冰，驾驶或乘坐滑翔翼、滑翔伞，跳伞，攀岩运动，探险活动，武术比赛，摔跤比赛，柔道，空手道，跆拳道，马术，拳击，特技表演，驾驶卡丁车，赛马，赛车，各种车辆表演、蹦极。</w:t>
      </w:r>
    </w:p>
    <w:p>
      <w:pPr>
        <w:pStyle w:val="24"/>
        <w:spacing w:beforeLines="0" w:afterLines="0" w:line="360" w:lineRule="auto"/>
        <w:ind w:left="0" w:leftChars="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潜水：指以辅助呼吸器材在江、河、湖、海、水库、运河等水域进行的水下运动。</w:t>
      </w:r>
    </w:p>
    <w:p>
      <w:pPr>
        <w:pStyle w:val="24"/>
        <w:spacing w:beforeLines="0" w:afterLines="0" w:line="360" w:lineRule="auto"/>
        <w:ind w:left="0" w:leftChars="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攀岩运动：指以攀登悬崖、楼宇外墙、人造悬崖、冰崖、冰山等运动。</w:t>
      </w:r>
    </w:p>
    <w:p>
      <w:pPr>
        <w:pStyle w:val="24"/>
        <w:spacing w:beforeLines="0" w:afterLines="0" w:line="360" w:lineRule="auto"/>
        <w:ind w:left="0" w:leftChars="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探险活动：指明知在某种特定的自然条件下有失去生命或使身体受到伤害的危险，而故意使自己置身其中的行为，如江河漂流、徒步穿越沙漠或人迹罕至的原始森林等活动。</w:t>
      </w:r>
    </w:p>
    <w:p>
      <w:pPr>
        <w:pStyle w:val="24"/>
        <w:spacing w:beforeLines="0" w:afterLines="0" w:line="360" w:lineRule="auto"/>
        <w:ind w:left="0" w:leftChars="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武术比赛：指两人或两人以上对抗性柔道、空手道、跆拳道、散打、拳击等各种拳术及各种使用器械的对抗性比赛。</w:t>
      </w:r>
    </w:p>
    <w:p>
      <w:pPr>
        <w:pStyle w:val="24"/>
        <w:spacing w:beforeLines="0" w:afterLines="0" w:line="360" w:lineRule="auto"/>
        <w:ind w:left="0" w:leftChars="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特技：指从事马术、杂技、驯兽等特殊技能。</w:t>
      </w:r>
    </w:p>
    <w:p>
      <w:pPr>
        <w:pStyle w:val="24"/>
        <w:spacing w:beforeLines="0" w:afterLines="0" w:line="360" w:lineRule="auto"/>
        <w:ind w:left="0" w:leftChars="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搏击：指两人或两人以上徒手或使用器械进行武术、柔道、空手道、跆拳道、摔跤、拳击、泰拳等对抗性运动。</w:t>
      </w:r>
    </w:p>
    <w:p>
      <w:pPr>
        <w:pStyle w:val="24"/>
        <w:spacing w:beforeLines="0" w:afterLines="0" w:line="360" w:lineRule="auto"/>
        <w:ind w:left="0" w:leftChars="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1</w:t>
      </w:r>
      <w:r>
        <w:rPr>
          <w:rFonts w:hint="eastAsia" w:asciiTheme="minorEastAsia" w:hAnsiTheme="minorEastAsia" w:eastAsiaTheme="minorEastAsia" w:cstheme="minorEastAsia"/>
          <w:b/>
          <w:bCs/>
          <w:szCs w:val="21"/>
          <w:lang w:val="en-US" w:eastAsia="zh-CN"/>
        </w:rPr>
        <w:t>6</w:t>
      </w:r>
      <w:r>
        <w:rPr>
          <w:rFonts w:hint="eastAsia" w:asciiTheme="minorEastAsia" w:hAnsiTheme="minorEastAsia" w:eastAsiaTheme="minorEastAsia" w:cstheme="minorEastAsia"/>
          <w:b/>
          <w:bCs/>
          <w:szCs w:val="21"/>
        </w:rPr>
        <w:t>、流行疫病：</w:t>
      </w:r>
      <w:r>
        <w:rPr>
          <w:rFonts w:hint="eastAsia" w:asciiTheme="minorEastAsia" w:hAnsiTheme="minorEastAsia" w:eastAsiaTheme="minorEastAsia" w:cstheme="minorEastAsia"/>
          <w:szCs w:val="21"/>
        </w:rPr>
        <w:t>是指在某国家、地区或区域突然爆发并快速传播的传染性疾病。</w:t>
      </w:r>
    </w:p>
    <w:p>
      <w:pPr>
        <w:pStyle w:val="24"/>
        <w:spacing w:beforeLines="0" w:afterLines="0" w:line="360" w:lineRule="auto"/>
        <w:ind w:left="0" w:leftChars="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lang w:val="en-US" w:eastAsia="zh-CN"/>
        </w:rPr>
        <w:t>17</w:t>
      </w:r>
      <w:r>
        <w:rPr>
          <w:rFonts w:hint="eastAsia" w:asciiTheme="minorEastAsia" w:hAnsiTheme="minorEastAsia" w:eastAsiaTheme="minorEastAsia" w:cstheme="minorEastAsia"/>
          <w:b/>
          <w:bCs/>
          <w:szCs w:val="21"/>
        </w:rPr>
        <w:t>、医生：</w:t>
      </w:r>
      <w:r>
        <w:rPr>
          <w:rFonts w:hint="eastAsia" w:asciiTheme="minorEastAsia" w:hAnsiTheme="minorEastAsia" w:eastAsiaTheme="minorEastAsia" w:cstheme="minorEastAsia"/>
          <w:szCs w:val="21"/>
        </w:rPr>
        <w:t>指除被保险人本人、其家庭成员或与被保险人有直接利益关系的人员以外的任何持有被认可并依据其执业国家之法律，正式注册及提供其认可执业医疗范围内之医生。</w:t>
      </w:r>
    </w:p>
    <w:p>
      <w:pPr>
        <w:pStyle w:val="24"/>
        <w:spacing w:beforeLines="0" w:afterLines="0" w:line="360" w:lineRule="auto"/>
        <w:ind w:left="0" w:leftChars="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lang w:val="en-US" w:eastAsia="zh-CN"/>
        </w:rPr>
        <w:t>18</w:t>
      </w:r>
      <w:r>
        <w:rPr>
          <w:rFonts w:hint="eastAsia" w:asciiTheme="minorEastAsia" w:hAnsiTheme="minorEastAsia" w:eastAsiaTheme="minorEastAsia" w:cstheme="minorEastAsia"/>
          <w:b/>
          <w:bCs/>
          <w:szCs w:val="21"/>
        </w:rPr>
        <w:t>、管制药品：</w:t>
      </w:r>
      <w:r>
        <w:rPr>
          <w:rFonts w:hint="eastAsia" w:asciiTheme="minorEastAsia" w:hAnsiTheme="minorEastAsia" w:eastAsiaTheme="minorEastAsia" w:cstheme="minorEastAsia"/>
          <w:szCs w:val="21"/>
        </w:rPr>
        <w:t>指根据《中华人民共和国药品管理法》及有关法规被列为特殊管理的药品，包括但不限于麻醉药品，精神药品，毒性药品及放射性药品。</w:t>
      </w:r>
    </w:p>
    <w:p>
      <w:pPr>
        <w:pStyle w:val="24"/>
        <w:numPr>
          <w:ilvl w:val="0"/>
          <w:numId w:val="0"/>
        </w:numPr>
        <w:spacing w:beforeLines="0" w:afterLines="0" w:line="360" w:lineRule="auto"/>
        <w:ind w:left="0" w:leftChars="0" w:firstLine="422"/>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bCs/>
          <w:szCs w:val="21"/>
          <w:lang w:val="en-US" w:eastAsia="zh-CN"/>
        </w:rPr>
        <w:t>19、</w:t>
      </w:r>
      <w:r>
        <w:rPr>
          <w:rFonts w:hint="eastAsia" w:asciiTheme="minorEastAsia" w:hAnsiTheme="minorEastAsia" w:eastAsiaTheme="minorEastAsia" w:cstheme="minorEastAsia"/>
          <w:b/>
          <w:bCs/>
          <w:szCs w:val="21"/>
        </w:rPr>
        <w:t>未满期净保费：</w:t>
      </w:r>
      <w:r>
        <w:rPr>
          <w:rFonts w:hint="eastAsia" w:asciiTheme="minorEastAsia" w:hAnsiTheme="minorEastAsia" w:eastAsiaTheme="minorEastAsia" w:cstheme="minorEastAsia"/>
          <w:b w:val="0"/>
          <w:bCs w:val="0"/>
          <w:szCs w:val="21"/>
        </w:rPr>
        <w:t>未满期净保费=净保费×[[1-(保险单已经过天数/保险期间天数)] 。经过天数不足一天的按一天计算。</w:t>
      </w:r>
    </w:p>
    <w:p>
      <w:pPr>
        <w:pStyle w:val="24"/>
        <w:numPr>
          <w:ilvl w:val="0"/>
          <w:numId w:val="0"/>
        </w:numPr>
        <w:spacing w:beforeLines="0" w:afterLines="0" w:line="360" w:lineRule="auto"/>
        <w:ind w:left="0" w:leftChars="0" w:firstLine="42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2</w:t>
      </w:r>
      <w:r>
        <w:rPr>
          <w:rFonts w:hint="eastAsia" w:asciiTheme="minorEastAsia" w:hAnsiTheme="minorEastAsia" w:eastAsiaTheme="minorEastAsia" w:cstheme="minorEastAsia"/>
          <w:b/>
          <w:bCs/>
          <w:szCs w:val="21"/>
          <w:lang w:val="en-US" w:eastAsia="zh-CN"/>
        </w:rPr>
        <w:t>0</w:t>
      </w:r>
      <w:r>
        <w:rPr>
          <w:rFonts w:hint="eastAsia" w:asciiTheme="minorEastAsia" w:hAnsiTheme="minorEastAsia" w:eastAsiaTheme="minorEastAsia" w:cstheme="minorEastAsia"/>
          <w:b/>
          <w:bCs/>
          <w:szCs w:val="21"/>
        </w:rPr>
        <w:t>、保险金</w:t>
      </w:r>
      <w:r>
        <w:rPr>
          <w:rStyle w:val="72"/>
          <w:rFonts w:hint="eastAsia" w:asciiTheme="minorEastAsia" w:hAnsiTheme="minorEastAsia" w:eastAsiaTheme="minorEastAsia" w:cstheme="minorEastAsia"/>
          <w:sz w:val="21"/>
          <w:szCs w:val="21"/>
        </w:rPr>
        <w:t>申请人</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指受益人或被保险人的继承人或依法享有保险金请求权的其他自然人。</w:t>
      </w:r>
    </w:p>
    <w:p>
      <w:pPr>
        <w:pStyle w:val="24"/>
        <w:spacing w:beforeLines="0" w:afterLines="0" w:line="360" w:lineRule="auto"/>
        <w:ind w:left="0" w:leftChars="0" w:firstLine="0"/>
        <w:rPr>
          <w:rFonts w:hint="eastAsia" w:asciiTheme="minorEastAsia" w:hAnsiTheme="minorEastAsia" w:eastAsiaTheme="minorEastAsia" w:cstheme="minorEastAsia"/>
          <w:szCs w:val="21"/>
        </w:rPr>
      </w:pPr>
      <w:r>
        <w:rPr>
          <w:rStyle w:val="72"/>
          <w:rFonts w:hint="eastAsia" w:asciiTheme="minorEastAsia" w:hAnsiTheme="minorEastAsia" w:eastAsiaTheme="minorEastAsia" w:cstheme="minorEastAsia"/>
          <w:sz w:val="21"/>
          <w:szCs w:val="21"/>
        </w:rPr>
        <w:t>2</w:t>
      </w:r>
      <w:r>
        <w:rPr>
          <w:rStyle w:val="72"/>
          <w:rFonts w:hint="eastAsia" w:asciiTheme="minorEastAsia" w:hAnsiTheme="minorEastAsia" w:eastAsiaTheme="minorEastAsia" w:cstheme="minorEastAsia"/>
          <w:sz w:val="21"/>
          <w:szCs w:val="21"/>
          <w:lang w:val="en-US"/>
        </w:rPr>
        <w:t>1</w:t>
      </w:r>
      <w:r>
        <w:rPr>
          <w:rStyle w:val="72"/>
          <w:rFonts w:hint="eastAsia" w:asciiTheme="minorEastAsia" w:hAnsiTheme="minorEastAsia" w:eastAsiaTheme="minorEastAsia" w:cstheme="minorEastAsia"/>
          <w:sz w:val="21"/>
          <w:szCs w:val="21"/>
        </w:rPr>
        <w:t>、不可抗力：</w:t>
      </w:r>
      <w:r>
        <w:rPr>
          <w:rFonts w:hint="eastAsia" w:asciiTheme="minorEastAsia" w:hAnsiTheme="minorEastAsia" w:eastAsiaTheme="minorEastAsia" w:cstheme="minorEastAsia"/>
          <w:szCs w:val="21"/>
        </w:rPr>
        <w:t>指不能预见、不能避免并不能克服的客观情况。</w:t>
      </w:r>
    </w:p>
    <w:p>
      <w:pPr>
        <w:pStyle w:val="24"/>
        <w:spacing w:beforeLines="0" w:after="0" w:afterLines="0" w:line="360" w:lineRule="auto"/>
        <w:ind w:left="0" w:leftChars="0" w:firstLine="422" w:firstLineChars="200"/>
        <w:rPr>
          <w:rFonts w:hint="eastAsia" w:asciiTheme="minorEastAsia" w:hAnsiTheme="minorEastAsia" w:eastAsiaTheme="minorEastAsia" w:cstheme="minorEastAsia"/>
          <w:b/>
          <w:sz w:val="21"/>
          <w:szCs w:val="21"/>
        </w:rPr>
      </w:pPr>
      <w:r>
        <w:rPr>
          <w:rStyle w:val="72"/>
          <w:rFonts w:hint="eastAsia" w:asciiTheme="minorEastAsia" w:hAnsiTheme="minorEastAsia" w:eastAsiaTheme="minorEastAsia" w:cstheme="minorEastAsia"/>
          <w:sz w:val="21"/>
          <w:szCs w:val="21"/>
        </w:rPr>
        <w:t>2</w:t>
      </w:r>
      <w:r>
        <w:rPr>
          <w:rStyle w:val="72"/>
          <w:rFonts w:hint="eastAsia" w:asciiTheme="minorEastAsia" w:hAnsiTheme="minorEastAsia" w:eastAsiaTheme="minorEastAsia" w:cstheme="minorEastAsia"/>
          <w:sz w:val="21"/>
          <w:szCs w:val="21"/>
          <w:lang w:val="en-US"/>
        </w:rPr>
        <w:t>2</w:t>
      </w:r>
      <w:r>
        <w:rPr>
          <w:rStyle w:val="72"/>
          <w:rFonts w:hint="eastAsia" w:asciiTheme="minorEastAsia" w:hAnsiTheme="minorEastAsia" w:eastAsiaTheme="minorEastAsia" w:cstheme="minorEastAsia"/>
          <w:sz w:val="21"/>
          <w:szCs w:val="21"/>
        </w:rPr>
        <w:t>、原出发地：</w:t>
      </w:r>
      <w:r>
        <w:rPr>
          <w:rFonts w:hint="eastAsia" w:asciiTheme="minorEastAsia" w:hAnsiTheme="minorEastAsia" w:eastAsiaTheme="minorEastAsia" w:cstheme="minorEastAsia"/>
          <w:szCs w:val="21"/>
        </w:rPr>
        <w:t>若被保险人进行的旅行目的地为中国境外(包括港澳台地区)，则原出发地指中国境内。</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10</w:t>
    </w:r>
    <w:r>
      <w:fldChar w:fldCharType="end"/>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5B2"/>
    <w:rsid w:val="00000EA5"/>
    <w:rsid w:val="0001420E"/>
    <w:rsid w:val="000224DF"/>
    <w:rsid w:val="000316FE"/>
    <w:rsid w:val="00032652"/>
    <w:rsid w:val="00033D35"/>
    <w:rsid w:val="00072007"/>
    <w:rsid w:val="0007210A"/>
    <w:rsid w:val="00081A0E"/>
    <w:rsid w:val="000868E9"/>
    <w:rsid w:val="00091651"/>
    <w:rsid w:val="00094A75"/>
    <w:rsid w:val="0009727C"/>
    <w:rsid w:val="000A08AD"/>
    <w:rsid w:val="000A59DF"/>
    <w:rsid w:val="000A646F"/>
    <w:rsid w:val="000B4D26"/>
    <w:rsid w:val="000C0990"/>
    <w:rsid w:val="000C3C95"/>
    <w:rsid w:val="000C6508"/>
    <w:rsid w:val="000D3434"/>
    <w:rsid w:val="000D6D39"/>
    <w:rsid w:val="000D7E13"/>
    <w:rsid w:val="000E47B0"/>
    <w:rsid w:val="000F6A27"/>
    <w:rsid w:val="0010464D"/>
    <w:rsid w:val="00115CC2"/>
    <w:rsid w:val="00117976"/>
    <w:rsid w:val="0012308D"/>
    <w:rsid w:val="00147D13"/>
    <w:rsid w:val="001510C7"/>
    <w:rsid w:val="00153A10"/>
    <w:rsid w:val="00157183"/>
    <w:rsid w:val="00174A14"/>
    <w:rsid w:val="0017640D"/>
    <w:rsid w:val="001779AB"/>
    <w:rsid w:val="001824A7"/>
    <w:rsid w:val="0018660D"/>
    <w:rsid w:val="0019042C"/>
    <w:rsid w:val="001906E1"/>
    <w:rsid w:val="001915B2"/>
    <w:rsid w:val="001A4E2E"/>
    <w:rsid w:val="001A6EC2"/>
    <w:rsid w:val="001C3CD4"/>
    <w:rsid w:val="001C4D59"/>
    <w:rsid w:val="001C604C"/>
    <w:rsid w:val="001F1DC6"/>
    <w:rsid w:val="001F4A23"/>
    <w:rsid w:val="00200086"/>
    <w:rsid w:val="002013B6"/>
    <w:rsid w:val="00206583"/>
    <w:rsid w:val="0022060B"/>
    <w:rsid w:val="00221FD1"/>
    <w:rsid w:val="002227D1"/>
    <w:rsid w:val="00225CDC"/>
    <w:rsid w:val="00230658"/>
    <w:rsid w:val="00241740"/>
    <w:rsid w:val="00241E46"/>
    <w:rsid w:val="002432A1"/>
    <w:rsid w:val="00243425"/>
    <w:rsid w:val="00247E98"/>
    <w:rsid w:val="00271E41"/>
    <w:rsid w:val="00280D9C"/>
    <w:rsid w:val="00294CCF"/>
    <w:rsid w:val="00296ACC"/>
    <w:rsid w:val="002A21B3"/>
    <w:rsid w:val="002A58CF"/>
    <w:rsid w:val="002B355B"/>
    <w:rsid w:val="002C48A5"/>
    <w:rsid w:val="002C5530"/>
    <w:rsid w:val="002D396C"/>
    <w:rsid w:val="002E6A78"/>
    <w:rsid w:val="002F1714"/>
    <w:rsid w:val="002F33AB"/>
    <w:rsid w:val="002F6013"/>
    <w:rsid w:val="002F7E92"/>
    <w:rsid w:val="00317015"/>
    <w:rsid w:val="00321279"/>
    <w:rsid w:val="00322415"/>
    <w:rsid w:val="00324990"/>
    <w:rsid w:val="00327655"/>
    <w:rsid w:val="003334CD"/>
    <w:rsid w:val="00333B56"/>
    <w:rsid w:val="00344DF9"/>
    <w:rsid w:val="003677A3"/>
    <w:rsid w:val="003775C7"/>
    <w:rsid w:val="00380BED"/>
    <w:rsid w:val="00390B49"/>
    <w:rsid w:val="00391557"/>
    <w:rsid w:val="00397007"/>
    <w:rsid w:val="00397121"/>
    <w:rsid w:val="00397900"/>
    <w:rsid w:val="003A394E"/>
    <w:rsid w:val="003A4C11"/>
    <w:rsid w:val="003A6E45"/>
    <w:rsid w:val="003A7B58"/>
    <w:rsid w:val="003B1BDF"/>
    <w:rsid w:val="003B5C3F"/>
    <w:rsid w:val="003C0551"/>
    <w:rsid w:val="003C4B57"/>
    <w:rsid w:val="003C78E2"/>
    <w:rsid w:val="003D01DF"/>
    <w:rsid w:val="003D7BAE"/>
    <w:rsid w:val="003E442B"/>
    <w:rsid w:val="003F36E6"/>
    <w:rsid w:val="0041173F"/>
    <w:rsid w:val="00417208"/>
    <w:rsid w:val="00424B54"/>
    <w:rsid w:val="004259D3"/>
    <w:rsid w:val="00441D06"/>
    <w:rsid w:val="0044670C"/>
    <w:rsid w:val="004563CD"/>
    <w:rsid w:val="00457459"/>
    <w:rsid w:val="00460777"/>
    <w:rsid w:val="00460B8A"/>
    <w:rsid w:val="004626BE"/>
    <w:rsid w:val="004A1EC0"/>
    <w:rsid w:val="004A4A56"/>
    <w:rsid w:val="004B0050"/>
    <w:rsid w:val="004B2756"/>
    <w:rsid w:val="004B74B4"/>
    <w:rsid w:val="004C13F0"/>
    <w:rsid w:val="004C1CB9"/>
    <w:rsid w:val="004C6C3F"/>
    <w:rsid w:val="004D455C"/>
    <w:rsid w:val="004D4D69"/>
    <w:rsid w:val="004D6AE8"/>
    <w:rsid w:val="004F039E"/>
    <w:rsid w:val="004F2214"/>
    <w:rsid w:val="004F22FA"/>
    <w:rsid w:val="004F2629"/>
    <w:rsid w:val="00511801"/>
    <w:rsid w:val="005156DD"/>
    <w:rsid w:val="00522C66"/>
    <w:rsid w:val="00523708"/>
    <w:rsid w:val="00524E56"/>
    <w:rsid w:val="00546379"/>
    <w:rsid w:val="00547CFD"/>
    <w:rsid w:val="005545EC"/>
    <w:rsid w:val="00557827"/>
    <w:rsid w:val="00560789"/>
    <w:rsid w:val="00587308"/>
    <w:rsid w:val="005A0B6E"/>
    <w:rsid w:val="005A4CB0"/>
    <w:rsid w:val="005C5C94"/>
    <w:rsid w:val="005C7EC2"/>
    <w:rsid w:val="005D13EF"/>
    <w:rsid w:val="005D37A1"/>
    <w:rsid w:val="005D6727"/>
    <w:rsid w:val="005E06D5"/>
    <w:rsid w:val="005E4218"/>
    <w:rsid w:val="005E5E19"/>
    <w:rsid w:val="005E7B67"/>
    <w:rsid w:val="005F17F4"/>
    <w:rsid w:val="005F6FCE"/>
    <w:rsid w:val="00623BB7"/>
    <w:rsid w:val="00631339"/>
    <w:rsid w:val="00631F0E"/>
    <w:rsid w:val="006424FB"/>
    <w:rsid w:val="00642847"/>
    <w:rsid w:val="00643798"/>
    <w:rsid w:val="00643C7D"/>
    <w:rsid w:val="0065161A"/>
    <w:rsid w:val="0065615F"/>
    <w:rsid w:val="00664576"/>
    <w:rsid w:val="00675AAB"/>
    <w:rsid w:val="00677B13"/>
    <w:rsid w:val="00692D39"/>
    <w:rsid w:val="00693DFB"/>
    <w:rsid w:val="006B5A16"/>
    <w:rsid w:val="006B6080"/>
    <w:rsid w:val="006C16C0"/>
    <w:rsid w:val="006C4136"/>
    <w:rsid w:val="006C656E"/>
    <w:rsid w:val="006C7C0A"/>
    <w:rsid w:val="006D1316"/>
    <w:rsid w:val="006E1FD1"/>
    <w:rsid w:val="006E4477"/>
    <w:rsid w:val="006E48EB"/>
    <w:rsid w:val="006F4577"/>
    <w:rsid w:val="00724341"/>
    <w:rsid w:val="007249E6"/>
    <w:rsid w:val="00726455"/>
    <w:rsid w:val="00732C21"/>
    <w:rsid w:val="007364E3"/>
    <w:rsid w:val="00742775"/>
    <w:rsid w:val="00744EB8"/>
    <w:rsid w:val="00745928"/>
    <w:rsid w:val="00750DD2"/>
    <w:rsid w:val="00763307"/>
    <w:rsid w:val="00764186"/>
    <w:rsid w:val="00766513"/>
    <w:rsid w:val="0077789E"/>
    <w:rsid w:val="00785364"/>
    <w:rsid w:val="007878E0"/>
    <w:rsid w:val="007979F1"/>
    <w:rsid w:val="007A3B39"/>
    <w:rsid w:val="007B10DA"/>
    <w:rsid w:val="007C0DAF"/>
    <w:rsid w:val="007D07A8"/>
    <w:rsid w:val="007D3798"/>
    <w:rsid w:val="007E55EA"/>
    <w:rsid w:val="007F3A4B"/>
    <w:rsid w:val="007F4820"/>
    <w:rsid w:val="0080075D"/>
    <w:rsid w:val="00800B93"/>
    <w:rsid w:val="00801A2A"/>
    <w:rsid w:val="0081212F"/>
    <w:rsid w:val="008121A5"/>
    <w:rsid w:val="0081739E"/>
    <w:rsid w:val="00820A5F"/>
    <w:rsid w:val="008360AF"/>
    <w:rsid w:val="00844A03"/>
    <w:rsid w:val="00852008"/>
    <w:rsid w:val="0088535F"/>
    <w:rsid w:val="0089359A"/>
    <w:rsid w:val="008945CF"/>
    <w:rsid w:val="0089532D"/>
    <w:rsid w:val="008A12DF"/>
    <w:rsid w:val="008A524B"/>
    <w:rsid w:val="008A5FCA"/>
    <w:rsid w:val="008A6AC9"/>
    <w:rsid w:val="008B677E"/>
    <w:rsid w:val="008C1028"/>
    <w:rsid w:val="008D2FB9"/>
    <w:rsid w:val="008D5DB3"/>
    <w:rsid w:val="008F7178"/>
    <w:rsid w:val="00901862"/>
    <w:rsid w:val="00913C73"/>
    <w:rsid w:val="00914611"/>
    <w:rsid w:val="00920DE9"/>
    <w:rsid w:val="009221C8"/>
    <w:rsid w:val="009271FC"/>
    <w:rsid w:val="009402B5"/>
    <w:rsid w:val="009534D3"/>
    <w:rsid w:val="009538A7"/>
    <w:rsid w:val="00956DFF"/>
    <w:rsid w:val="00966130"/>
    <w:rsid w:val="00970429"/>
    <w:rsid w:val="0097143D"/>
    <w:rsid w:val="0099353D"/>
    <w:rsid w:val="009944F1"/>
    <w:rsid w:val="009D6E75"/>
    <w:rsid w:val="009F18A6"/>
    <w:rsid w:val="009F44B6"/>
    <w:rsid w:val="009F6971"/>
    <w:rsid w:val="009F79D2"/>
    <w:rsid w:val="00A03BC5"/>
    <w:rsid w:val="00A244AF"/>
    <w:rsid w:val="00A315ED"/>
    <w:rsid w:val="00A34AB9"/>
    <w:rsid w:val="00A370B0"/>
    <w:rsid w:val="00A435CD"/>
    <w:rsid w:val="00A513BA"/>
    <w:rsid w:val="00A609B2"/>
    <w:rsid w:val="00A65105"/>
    <w:rsid w:val="00A6677F"/>
    <w:rsid w:val="00A733AB"/>
    <w:rsid w:val="00A73476"/>
    <w:rsid w:val="00A77718"/>
    <w:rsid w:val="00A80062"/>
    <w:rsid w:val="00A84FE1"/>
    <w:rsid w:val="00A873BD"/>
    <w:rsid w:val="00A93271"/>
    <w:rsid w:val="00A933F0"/>
    <w:rsid w:val="00AB19C5"/>
    <w:rsid w:val="00AB3B54"/>
    <w:rsid w:val="00AB551E"/>
    <w:rsid w:val="00AC0D8C"/>
    <w:rsid w:val="00AC2C9B"/>
    <w:rsid w:val="00AD4ED6"/>
    <w:rsid w:val="00AE02F7"/>
    <w:rsid w:val="00AE1A17"/>
    <w:rsid w:val="00AE484B"/>
    <w:rsid w:val="00AF0853"/>
    <w:rsid w:val="00AF17A5"/>
    <w:rsid w:val="00AF71E0"/>
    <w:rsid w:val="00B0101A"/>
    <w:rsid w:val="00B014C0"/>
    <w:rsid w:val="00B03228"/>
    <w:rsid w:val="00B12CE7"/>
    <w:rsid w:val="00B22F6C"/>
    <w:rsid w:val="00B2496B"/>
    <w:rsid w:val="00B30F0D"/>
    <w:rsid w:val="00B35AB3"/>
    <w:rsid w:val="00B3791B"/>
    <w:rsid w:val="00B40D53"/>
    <w:rsid w:val="00B4490D"/>
    <w:rsid w:val="00B522CF"/>
    <w:rsid w:val="00B66BB7"/>
    <w:rsid w:val="00B71C9B"/>
    <w:rsid w:val="00B80A9C"/>
    <w:rsid w:val="00B94566"/>
    <w:rsid w:val="00B968C3"/>
    <w:rsid w:val="00BA6110"/>
    <w:rsid w:val="00BA6BD6"/>
    <w:rsid w:val="00BB0B4F"/>
    <w:rsid w:val="00BC1712"/>
    <w:rsid w:val="00BC5B0B"/>
    <w:rsid w:val="00BC7384"/>
    <w:rsid w:val="00BC776F"/>
    <w:rsid w:val="00BD6090"/>
    <w:rsid w:val="00BD6F43"/>
    <w:rsid w:val="00BD7423"/>
    <w:rsid w:val="00BF2EC5"/>
    <w:rsid w:val="00BF5D03"/>
    <w:rsid w:val="00C03564"/>
    <w:rsid w:val="00C07F0A"/>
    <w:rsid w:val="00C24610"/>
    <w:rsid w:val="00C2700C"/>
    <w:rsid w:val="00C40E19"/>
    <w:rsid w:val="00C42B67"/>
    <w:rsid w:val="00C457F7"/>
    <w:rsid w:val="00C514EF"/>
    <w:rsid w:val="00C60DC4"/>
    <w:rsid w:val="00C720C0"/>
    <w:rsid w:val="00C80591"/>
    <w:rsid w:val="00C81928"/>
    <w:rsid w:val="00C97C95"/>
    <w:rsid w:val="00CA6E0E"/>
    <w:rsid w:val="00CB048A"/>
    <w:rsid w:val="00CC74A6"/>
    <w:rsid w:val="00CD522A"/>
    <w:rsid w:val="00CD7799"/>
    <w:rsid w:val="00CE2418"/>
    <w:rsid w:val="00CF147F"/>
    <w:rsid w:val="00CF47F5"/>
    <w:rsid w:val="00CF6FC2"/>
    <w:rsid w:val="00D023E9"/>
    <w:rsid w:val="00D02A6D"/>
    <w:rsid w:val="00D1085B"/>
    <w:rsid w:val="00D15711"/>
    <w:rsid w:val="00D23A59"/>
    <w:rsid w:val="00D23D90"/>
    <w:rsid w:val="00D2712F"/>
    <w:rsid w:val="00D31A0E"/>
    <w:rsid w:val="00D71867"/>
    <w:rsid w:val="00D81423"/>
    <w:rsid w:val="00D935B9"/>
    <w:rsid w:val="00D9738D"/>
    <w:rsid w:val="00DA0CA9"/>
    <w:rsid w:val="00DA2771"/>
    <w:rsid w:val="00DA33C6"/>
    <w:rsid w:val="00DA3948"/>
    <w:rsid w:val="00DB67ED"/>
    <w:rsid w:val="00DC1753"/>
    <w:rsid w:val="00DD21A7"/>
    <w:rsid w:val="00DD3641"/>
    <w:rsid w:val="00DD4AA1"/>
    <w:rsid w:val="00DD5F2D"/>
    <w:rsid w:val="00DE6174"/>
    <w:rsid w:val="00DF2F98"/>
    <w:rsid w:val="00E02547"/>
    <w:rsid w:val="00E3506F"/>
    <w:rsid w:val="00E3668F"/>
    <w:rsid w:val="00E576C0"/>
    <w:rsid w:val="00E7598E"/>
    <w:rsid w:val="00E8619C"/>
    <w:rsid w:val="00E91578"/>
    <w:rsid w:val="00EA5F9D"/>
    <w:rsid w:val="00EB6054"/>
    <w:rsid w:val="00EB62BB"/>
    <w:rsid w:val="00EB7D4B"/>
    <w:rsid w:val="00EC5D43"/>
    <w:rsid w:val="00ED4E76"/>
    <w:rsid w:val="00ED6599"/>
    <w:rsid w:val="00EE0357"/>
    <w:rsid w:val="00EF5696"/>
    <w:rsid w:val="00F11C38"/>
    <w:rsid w:val="00F1281D"/>
    <w:rsid w:val="00F13AED"/>
    <w:rsid w:val="00F16219"/>
    <w:rsid w:val="00F30716"/>
    <w:rsid w:val="00F31039"/>
    <w:rsid w:val="00F31C84"/>
    <w:rsid w:val="00F321A1"/>
    <w:rsid w:val="00F441B8"/>
    <w:rsid w:val="00F44A2F"/>
    <w:rsid w:val="00F60A2D"/>
    <w:rsid w:val="00F82B4F"/>
    <w:rsid w:val="00F86628"/>
    <w:rsid w:val="00F917D7"/>
    <w:rsid w:val="00F9258E"/>
    <w:rsid w:val="00FA3427"/>
    <w:rsid w:val="00FA43FD"/>
    <w:rsid w:val="00FA7D5E"/>
    <w:rsid w:val="00FB5152"/>
    <w:rsid w:val="00FD2EDC"/>
    <w:rsid w:val="00FD5D3E"/>
    <w:rsid w:val="00FE4A03"/>
    <w:rsid w:val="00FE5903"/>
    <w:rsid w:val="0F39267A"/>
    <w:rsid w:val="11FE1BB8"/>
    <w:rsid w:val="1AF6699D"/>
    <w:rsid w:val="1B3E0442"/>
    <w:rsid w:val="2FF57BBF"/>
    <w:rsid w:val="3B391327"/>
    <w:rsid w:val="594C624F"/>
    <w:rsid w:val="659602E9"/>
    <w:rsid w:val="7A4E59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3"/>
    <w:qFormat/>
    <w:uiPriority w:val="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64"/>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5"/>
    <w:qFormat/>
    <w:uiPriority w:val="9"/>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23">
    <w:name w:val="Normal Table"/>
    <w:semiHidden/>
    <w:qFormat/>
    <w:uiPriority w:val="0"/>
    <w:tblPr>
      <w:tblLayout w:type="fixed"/>
      <w:tblCellMar>
        <w:top w:w="0" w:type="dxa"/>
        <w:left w:w="108" w:type="dxa"/>
        <w:bottom w:w="0" w:type="dxa"/>
        <w:right w:w="108" w:type="dxa"/>
      </w:tblCellMar>
    </w:tblPr>
  </w:style>
  <w:style w:type="paragraph" w:styleId="5">
    <w:name w:val="annotation subject"/>
    <w:basedOn w:val="6"/>
    <w:next w:val="6"/>
    <w:link w:val="75"/>
    <w:qFormat/>
    <w:uiPriority w:val="99"/>
    <w:rPr>
      <w:b/>
      <w:bCs/>
    </w:rPr>
  </w:style>
  <w:style w:type="paragraph" w:styleId="6">
    <w:name w:val="annotation text"/>
    <w:basedOn w:val="1"/>
    <w:link w:val="67"/>
    <w:qFormat/>
    <w:uiPriority w:val="0"/>
    <w:pPr>
      <w:jc w:val="left"/>
    </w:pPr>
  </w:style>
  <w:style w:type="paragraph" w:styleId="7">
    <w:name w:val="Document Map"/>
    <w:basedOn w:val="1"/>
    <w:link w:val="66"/>
    <w:qFormat/>
    <w:uiPriority w:val="0"/>
    <w:pPr>
      <w:shd w:val="clear" w:color="auto" w:fill="000080"/>
    </w:pPr>
  </w:style>
  <w:style w:type="paragraph" w:styleId="8">
    <w:name w:val="Body Text Indent"/>
    <w:basedOn w:val="1"/>
    <w:link w:val="68"/>
    <w:qFormat/>
    <w:uiPriority w:val="0"/>
    <w:pPr>
      <w:spacing w:before="120"/>
      <w:ind w:firstLine="454"/>
      <w:outlineLvl w:val="0"/>
    </w:pPr>
    <w:rPr>
      <w:rFonts w:ascii="Times New Roman" w:hAnsi="Times New Roman"/>
      <w:sz w:val="24"/>
      <w:szCs w:val="20"/>
    </w:rPr>
  </w:style>
  <w:style w:type="paragraph" w:styleId="9">
    <w:name w:val="Block Text"/>
    <w:basedOn w:val="1"/>
    <w:semiHidden/>
    <w:qFormat/>
    <w:uiPriority w:val="0"/>
    <w:pPr>
      <w:spacing w:before="120"/>
      <w:ind w:left="79" w:right="57"/>
    </w:pPr>
    <w:rPr>
      <w:rFonts w:ascii="宋体" w:hAnsi="宋体"/>
      <w:szCs w:val="20"/>
    </w:rPr>
  </w:style>
  <w:style w:type="paragraph" w:styleId="10">
    <w:name w:val="toc 3"/>
    <w:basedOn w:val="1"/>
    <w:next w:val="1"/>
    <w:unhideWhenUsed/>
    <w:qFormat/>
    <w:uiPriority w:val="39"/>
    <w:pPr>
      <w:widowControl/>
      <w:tabs>
        <w:tab w:val="left" w:pos="1418"/>
        <w:tab w:val="right" w:leader="dot" w:pos="8296"/>
      </w:tabs>
      <w:ind w:left="848" w:leftChars="303" w:firstLine="3" w:firstLineChars="1"/>
      <w:jc w:val="left"/>
    </w:pPr>
    <w:rPr>
      <w:rFonts w:ascii="宋体" w:hAnsi="宋体" w:cs="宋体"/>
      <w:kern w:val="0"/>
      <w:sz w:val="28"/>
      <w:szCs w:val="24"/>
    </w:rPr>
  </w:style>
  <w:style w:type="paragraph" w:styleId="11">
    <w:name w:val="Balloon Text"/>
    <w:basedOn w:val="1"/>
    <w:link w:val="69"/>
    <w:semiHidden/>
    <w:qFormat/>
    <w:uiPriority w:val="99"/>
    <w:rPr>
      <w:sz w:val="18"/>
      <w:szCs w:val="18"/>
    </w:rPr>
  </w:style>
  <w:style w:type="paragraph" w:styleId="12">
    <w:name w:val="footer"/>
    <w:basedOn w:val="1"/>
    <w:link w:val="70"/>
    <w:unhideWhenUsed/>
    <w:qFormat/>
    <w:uiPriority w:val="99"/>
    <w:pPr>
      <w:tabs>
        <w:tab w:val="center" w:pos="4153"/>
        <w:tab w:val="right" w:pos="8306"/>
      </w:tabs>
      <w:snapToGrid w:val="0"/>
      <w:jc w:val="left"/>
    </w:pPr>
    <w:rPr>
      <w:sz w:val="18"/>
      <w:szCs w:val="18"/>
    </w:rPr>
  </w:style>
  <w:style w:type="paragraph" w:styleId="13">
    <w:name w:val="header"/>
    <w:basedOn w:val="1"/>
    <w:link w:val="7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jc w:val="left"/>
    </w:pPr>
    <w:rPr>
      <w:rFonts w:ascii="宋体" w:hAnsi="宋体" w:cs="宋体"/>
      <w:kern w:val="0"/>
      <w:sz w:val="28"/>
      <w:szCs w:val="24"/>
    </w:rPr>
  </w:style>
  <w:style w:type="paragraph" w:styleId="15">
    <w:name w:val="Subtitle"/>
    <w:basedOn w:val="1"/>
    <w:next w:val="1"/>
    <w:link w:val="72"/>
    <w:qFormat/>
    <w:uiPriority w:val="11"/>
    <w:pPr>
      <w:spacing w:before="240" w:after="60" w:line="312" w:lineRule="auto"/>
      <w:jc w:val="center"/>
      <w:outlineLvl w:val="1"/>
    </w:pPr>
    <w:rPr>
      <w:rFonts w:ascii="Cambria" w:hAnsi="Cambria"/>
      <w:b/>
      <w:bCs/>
      <w:kern w:val="28"/>
      <w:sz w:val="32"/>
      <w:szCs w:val="32"/>
    </w:rPr>
  </w:style>
  <w:style w:type="paragraph" w:styleId="16">
    <w:name w:val="toc 2"/>
    <w:basedOn w:val="1"/>
    <w:next w:val="1"/>
    <w:unhideWhenUsed/>
    <w:qFormat/>
    <w:uiPriority w:val="39"/>
    <w:pPr>
      <w:widowControl/>
      <w:tabs>
        <w:tab w:val="left" w:pos="851"/>
        <w:tab w:val="right" w:leader="dot" w:pos="8296"/>
      </w:tabs>
      <w:ind w:left="560" w:leftChars="200"/>
      <w:jc w:val="left"/>
    </w:pPr>
    <w:rPr>
      <w:rFonts w:ascii="宋体" w:hAnsi="宋体" w:cs="宋体"/>
      <w:kern w:val="0"/>
      <w:sz w:val="28"/>
      <w:szCs w:val="24"/>
    </w:rPr>
  </w:style>
  <w:style w:type="paragraph" w:styleId="17">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8">
    <w:name w:val="Normal (Web)"/>
    <w:basedOn w:val="1"/>
    <w:qFormat/>
    <w:uiPriority w:val="0"/>
    <w:pPr>
      <w:widowControl/>
      <w:spacing w:before="100" w:beforeAutospacing="1" w:after="100" w:afterAutospacing="1"/>
      <w:jc w:val="left"/>
    </w:pPr>
    <w:rPr>
      <w:rFonts w:ascii="Times New Roman" w:hAnsi="Times New Roman"/>
      <w:color w:val="000000"/>
      <w:kern w:val="0"/>
      <w:sz w:val="22"/>
    </w:rPr>
  </w:style>
  <w:style w:type="paragraph" w:styleId="19">
    <w:name w:val="Title"/>
    <w:basedOn w:val="1"/>
    <w:next w:val="1"/>
    <w:link w:val="74"/>
    <w:qFormat/>
    <w:uiPriority w:val="0"/>
    <w:pPr>
      <w:spacing w:before="240" w:after="60"/>
      <w:jc w:val="center"/>
      <w:outlineLvl w:val="0"/>
    </w:pPr>
    <w:rPr>
      <w:rFonts w:ascii="Cambria" w:hAnsi="Cambria"/>
      <w:b/>
      <w:bCs/>
      <w:sz w:val="32"/>
      <w:szCs w:val="32"/>
    </w:rPr>
  </w:style>
  <w:style w:type="character" w:styleId="21">
    <w:name w:val="Hyperlink"/>
    <w:unhideWhenUsed/>
    <w:qFormat/>
    <w:uiPriority w:val="99"/>
    <w:rPr>
      <w:color w:val="0000FF"/>
      <w:u w:val="single"/>
    </w:rPr>
  </w:style>
  <w:style w:type="character" w:styleId="22">
    <w:name w:val="annotation reference"/>
    <w:basedOn w:val="20"/>
    <w:qFormat/>
    <w:uiPriority w:val="0"/>
    <w:rPr>
      <w:sz w:val="21"/>
      <w:szCs w:val="21"/>
    </w:rPr>
  </w:style>
  <w:style w:type="paragraph" w:customStyle="1" w:styleId="24">
    <w:name w:val="条款正文"/>
    <w:basedOn w:val="1"/>
    <w:qFormat/>
    <w:uiPriority w:val="0"/>
    <w:pPr>
      <w:adjustRightInd w:val="0"/>
      <w:snapToGrid w:val="0"/>
      <w:ind w:left="840" w:leftChars="400" w:firstLine="420" w:firstLineChars="200"/>
    </w:pPr>
    <w:rPr>
      <w:rFonts w:ascii="Times New Roman" w:hAnsi="Times New Roman"/>
      <w:szCs w:val="24"/>
    </w:rPr>
  </w:style>
  <w:style w:type="paragraph" w:customStyle="1" w:styleId="25">
    <w:name w:val="条款标题"/>
    <w:basedOn w:val="24"/>
    <w:qFormat/>
    <w:uiPriority w:val="0"/>
    <w:pPr>
      <w:tabs>
        <w:tab w:val="left" w:pos="840"/>
      </w:tabs>
      <w:ind w:left="0" w:leftChars="0" w:firstLine="0" w:firstLineChars="0"/>
    </w:pPr>
    <w:rPr>
      <w:b/>
    </w:rPr>
  </w:style>
  <w:style w:type="paragraph" w:customStyle="1" w:styleId="26">
    <w:name w:val="条款大标题"/>
    <w:basedOn w:val="19"/>
    <w:link w:val="76"/>
    <w:qFormat/>
    <w:uiPriority w:val="0"/>
    <w:pPr>
      <w:snapToGrid w:val="0"/>
    </w:pPr>
  </w:style>
  <w:style w:type="paragraph" w:customStyle="1" w:styleId="27">
    <w:name w:val="Body Text 2"/>
    <w:basedOn w:val="1"/>
    <w:qFormat/>
    <w:uiPriority w:val="0"/>
    <w:pPr>
      <w:adjustRightInd w:val="0"/>
      <w:ind w:firstLine="552"/>
      <w:jc w:val="left"/>
      <w:textAlignment w:val="baseline"/>
    </w:pPr>
    <w:rPr>
      <w:rFonts w:ascii="宋体" w:hAnsi="Times New Roman"/>
      <w:kern w:val="0"/>
      <w:sz w:val="28"/>
      <w:szCs w:val="20"/>
    </w:rPr>
  </w:style>
  <w:style w:type="paragraph" w:customStyle="1" w:styleId="28">
    <w:name w:val="title"/>
    <w:basedOn w:val="1"/>
    <w:qFormat/>
    <w:uiPriority w:val="0"/>
    <w:pPr>
      <w:widowControl/>
      <w:spacing w:before="100" w:beforeAutospacing="1" w:after="100" w:afterAutospacing="1" w:line="240" w:lineRule="atLeast"/>
      <w:jc w:val="left"/>
    </w:pPr>
    <w:rPr>
      <w:rFonts w:ascii="宋体" w:hAnsi="宋体"/>
      <w:color w:val="002E8A"/>
      <w:kern w:val="0"/>
      <w:sz w:val="20"/>
      <w:szCs w:val="20"/>
    </w:rPr>
  </w:style>
  <w:style w:type="paragraph" w:customStyle="1" w:styleId="29">
    <w:name w:val=" Char Char Char"/>
    <w:basedOn w:val="1"/>
    <w:qFormat/>
    <w:uiPriority w:val="0"/>
    <w:pPr>
      <w:tabs>
        <w:tab w:val="left" w:pos="1440"/>
      </w:tabs>
      <w:ind w:left="1296" w:hanging="1296"/>
    </w:pPr>
    <w:rPr>
      <w:rFonts w:ascii="Arial" w:hAnsi="Arial" w:cs="Arial"/>
      <w:sz w:val="20"/>
      <w:szCs w:val="20"/>
    </w:rPr>
  </w:style>
  <w:style w:type="paragraph" w:customStyle="1" w:styleId="30">
    <w:name w:val=" Char"/>
    <w:basedOn w:val="7"/>
    <w:qFormat/>
    <w:uiPriority w:val="0"/>
    <w:pPr>
      <w:adjustRightInd w:val="0"/>
      <w:snapToGrid w:val="0"/>
      <w:spacing w:line="360" w:lineRule="auto"/>
    </w:pPr>
    <w:rPr>
      <w:rFonts w:ascii="Tahoma" w:hAnsi="Tahoma"/>
      <w:sz w:val="24"/>
      <w:szCs w:val="24"/>
    </w:rPr>
  </w:style>
  <w:style w:type="paragraph" w:customStyle="1" w:styleId="31">
    <w:name w:val="正文文本 21"/>
    <w:basedOn w:val="1"/>
    <w:qFormat/>
    <w:uiPriority w:val="0"/>
    <w:pPr>
      <w:adjustRightInd w:val="0"/>
      <w:ind w:firstLine="552"/>
      <w:jc w:val="left"/>
      <w:textAlignment w:val="baseline"/>
    </w:pPr>
    <w:rPr>
      <w:rFonts w:ascii="宋体" w:hAnsi="Times New Roman"/>
      <w:kern w:val="0"/>
      <w:sz w:val="28"/>
      <w:szCs w:val="20"/>
    </w:rPr>
  </w:style>
  <w:style w:type="paragraph" w:customStyle="1" w:styleId="32">
    <w:name w:val="Char Char Char"/>
    <w:basedOn w:val="1"/>
    <w:qFormat/>
    <w:uiPriority w:val="0"/>
    <w:pPr>
      <w:tabs>
        <w:tab w:val="left" w:pos="1440"/>
      </w:tabs>
      <w:ind w:left="1296" w:hanging="1296"/>
    </w:pPr>
    <w:rPr>
      <w:rFonts w:ascii="Arial" w:hAnsi="Arial" w:cs="Arial"/>
      <w:sz w:val="20"/>
      <w:szCs w:val="20"/>
    </w:rPr>
  </w:style>
  <w:style w:type="paragraph" w:customStyle="1" w:styleId="33">
    <w:name w:val="Char"/>
    <w:basedOn w:val="7"/>
    <w:qFormat/>
    <w:uiPriority w:val="0"/>
    <w:pPr>
      <w:adjustRightInd w:val="0"/>
      <w:snapToGrid w:val="0"/>
      <w:spacing w:line="360" w:lineRule="auto"/>
    </w:pPr>
    <w:rPr>
      <w:rFonts w:ascii="Tahoma" w:hAnsi="Tahoma"/>
      <w:sz w:val="24"/>
      <w:szCs w:val="24"/>
    </w:rPr>
  </w:style>
  <w:style w:type="paragraph" w:customStyle="1" w:styleId="34">
    <w:name w:val="Normal1"/>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35">
    <w:name w:val="_Style 34"/>
    <w:basedOn w:val="1"/>
    <w:qFormat/>
    <w:uiPriority w:val="34"/>
    <w:pPr>
      <w:ind w:firstLine="420" w:firstLineChars="200"/>
    </w:pPr>
  </w:style>
  <w:style w:type="paragraph" w:customStyle="1" w:styleId="36">
    <w:name w:val="注解（小四，楷体）"/>
    <w:basedOn w:val="1"/>
    <w:link w:val="83"/>
    <w:qFormat/>
    <w:uiPriority w:val="0"/>
    <w:pPr>
      <w:widowControl/>
      <w:contextualSpacing/>
      <w:jc w:val="left"/>
    </w:pPr>
    <w:rPr>
      <w:rFonts w:ascii="楷体" w:hAnsi="楷体" w:eastAsia="楷体" w:cs="宋体"/>
      <w:kern w:val="0"/>
      <w:sz w:val="24"/>
      <w:szCs w:val="24"/>
    </w:rPr>
  </w:style>
  <w:style w:type="paragraph" w:customStyle="1" w:styleId="37">
    <w:name w:val="表格（小四，宋体）"/>
    <w:basedOn w:val="1"/>
    <w:link w:val="84"/>
    <w:qFormat/>
    <w:uiPriority w:val="0"/>
    <w:pPr>
      <w:widowControl/>
      <w:contextualSpacing/>
      <w:jc w:val="left"/>
    </w:pPr>
    <w:rPr>
      <w:rFonts w:ascii="宋体" w:hAnsi="宋体" w:cs="宋体"/>
      <w:kern w:val="0"/>
      <w:sz w:val="24"/>
      <w:szCs w:val="24"/>
    </w:rPr>
  </w:style>
  <w:style w:type="paragraph" w:customStyle="1" w:styleId="38">
    <w:name w:val="_Style 37"/>
    <w:link w:val="85"/>
    <w:qFormat/>
    <w:uiPriority w:val="1"/>
    <w:rPr>
      <w:rFonts w:ascii="Calibri" w:hAnsi="Calibri" w:eastAsia="宋体" w:cs="Times New Roman"/>
      <w:sz w:val="22"/>
      <w:szCs w:val="22"/>
      <w:lang w:val="en-US" w:eastAsia="zh-CN" w:bidi="ar-SA"/>
    </w:rPr>
  </w:style>
  <w:style w:type="paragraph" w:customStyle="1" w:styleId="39">
    <w:name w:val="font5"/>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4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1">
    <w:name w:val="font7"/>
    <w:basedOn w:val="1"/>
    <w:qFormat/>
    <w:uiPriority w:val="0"/>
    <w:pPr>
      <w:widowControl/>
      <w:spacing w:before="100" w:beforeAutospacing="1" w:after="100" w:afterAutospacing="1"/>
      <w:jc w:val="left"/>
    </w:pPr>
    <w:rPr>
      <w:rFonts w:ascii="宋体" w:hAnsi="宋体" w:cs="宋体"/>
      <w:kern w:val="0"/>
      <w:sz w:val="22"/>
    </w:rPr>
  </w:style>
  <w:style w:type="paragraph" w:customStyle="1" w:styleId="42">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3">
    <w:name w:val="font9"/>
    <w:basedOn w:val="1"/>
    <w:qFormat/>
    <w:uiPriority w:val="0"/>
    <w:pPr>
      <w:widowControl/>
      <w:spacing w:before="100" w:beforeAutospacing="1" w:after="100" w:afterAutospacing="1"/>
      <w:jc w:val="left"/>
    </w:pPr>
    <w:rPr>
      <w:rFonts w:ascii="宋体" w:hAnsi="宋体" w:cs="宋体"/>
      <w:kern w:val="0"/>
      <w:sz w:val="22"/>
    </w:rPr>
  </w:style>
  <w:style w:type="paragraph" w:customStyle="1" w:styleId="4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9">
    <w:name w:val="xl7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1">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4">
    <w:name w:val="xl8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
    <w:name w:val="xl8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84"/>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5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left"/>
    </w:pPr>
    <w:rPr>
      <w:rFonts w:ascii="宋体" w:hAnsi="宋体" w:cs="宋体"/>
      <w:kern w:val="0"/>
      <w:sz w:val="24"/>
      <w:szCs w:val="24"/>
    </w:rPr>
  </w:style>
  <w:style w:type="paragraph" w:customStyle="1" w:styleId="6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pPr>
    <w:rPr>
      <w:rFonts w:ascii="宋体" w:hAnsi="宋体" w:cs="宋体"/>
      <w:kern w:val="0"/>
      <w:sz w:val="24"/>
      <w:szCs w:val="24"/>
    </w:rPr>
  </w:style>
  <w:style w:type="paragraph" w:customStyle="1" w:styleId="6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pPr>
    <w:rPr>
      <w:rFonts w:ascii="宋体" w:hAnsi="宋体" w:cs="宋体"/>
      <w:kern w:val="0"/>
      <w:sz w:val="24"/>
      <w:szCs w:val="24"/>
    </w:rPr>
  </w:style>
  <w:style w:type="paragraph" w:customStyle="1" w:styleId="62">
    <w:name w:val="xl88"/>
    <w:basedOn w:val="1"/>
    <w:qFormat/>
    <w:uiPriority w:val="0"/>
    <w:pPr>
      <w:widowControl/>
      <w:shd w:val="clear" w:color="000000" w:fill="CCE8CF"/>
      <w:spacing w:before="100" w:beforeAutospacing="1" w:after="100" w:afterAutospacing="1"/>
      <w:jc w:val="left"/>
    </w:pPr>
    <w:rPr>
      <w:rFonts w:ascii="宋体" w:hAnsi="宋体" w:cs="宋体"/>
      <w:kern w:val="0"/>
      <w:sz w:val="24"/>
      <w:szCs w:val="24"/>
    </w:rPr>
  </w:style>
  <w:style w:type="character" w:customStyle="1" w:styleId="63">
    <w:name w:val="标题 1 Char"/>
    <w:basedOn w:val="20"/>
    <w:link w:val="2"/>
    <w:qFormat/>
    <w:uiPriority w:val="9"/>
    <w:rPr>
      <w:rFonts w:eastAsia="宋体"/>
      <w:b/>
      <w:bCs/>
      <w:kern w:val="44"/>
      <w:sz w:val="44"/>
      <w:szCs w:val="44"/>
      <w:lang w:val="en-US" w:eastAsia="zh-CN" w:bidi="ar-SA"/>
    </w:rPr>
  </w:style>
  <w:style w:type="character" w:customStyle="1" w:styleId="64">
    <w:name w:val="标题 2 Char"/>
    <w:basedOn w:val="20"/>
    <w:link w:val="3"/>
    <w:qFormat/>
    <w:uiPriority w:val="9"/>
    <w:rPr>
      <w:rFonts w:ascii="Arial" w:hAnsi="Arial" w:eastAsia="黑体"/>
      <w:b/>
      <w:bCs/>
      <w:kern w:val="2"/>
      <w:sz w:val="32"/>
      <w:szCs w:val="32"/>
      <w:lang w:val="en-US" w:eastAsia="zh-CN" w:bidi="ar-SA"/>
    </w:rPr>
  </w:style>
  <w:style w:type="character" w:customStyle="1" w:styleId="65">
    <w:name w:val="标题 3 Char"/>
    <w:link w:val="4"/>
    <w:qFormat/>
    <w:uiPriority w:val="9"/>
    <w:rPr>
      <w:rFonts w:ascii="Calibri" w:hAnsi="Calibri" w:eastAsia="宋体"/>
      <w:b/>
      <w:bCs/>
      <w:kern w:val="2"/>
      <w:sz w:val="32"/>
      <w:szCs w:val="32"/>
      <w:lang w:val="en-US" w:eastAsia="zh-CN" w:bidi="ar-SA"/>
    </w:rPr>
  </w:style>
  <w:style w:type="character" w:customStyle="1" w:styleId="66">
    <w:name w:val="文档结构图 Char"/>
    <w:basedOn w:val="20"/>
    <w:link w:val="7"/>
    <w:qFormat/>
    <w:uiPriority w:val="0"/>
    <w:rPr>
      <w:rFonts w:ascii="Calibri" w:hAnsi="Calibri"/>
      <w:kern w:val="2"/>
      <w:sz w:val="21"/>
      <w:szCs w:val="22"/>
      <w:shd w:val="clear" w:color="auto" w:fill="000080"/>
    </w:rPr>
  </w:style>
  <w:style w:type="character" w:customStyle="1" w:styleId="67">
    <w:name w:val="批注文字 Char"/>
    <w:link w:val="6"/>
    <w:qFormat/>
    <w:uiPriority w:val="0"/>
    <w:rPr>
      <w:rFonts w:ascii="Calibri" w:hAnsi="Calibri" w:eastAsia="宋体"/>
      <w:kern w:val="2"/>
      <w:sz w:val="21"/>
      <w:szCs w:val="22"/>
      <w:lang w:val="en-US" w:eastAsia="zh-CN" w:bidi="ar-SA"/>
    </w:rPr>
  </w:style>
  <w:style w:type="character" w:customStyle="1" w:styleId="68">
    <w:name w:val="正文文本缩进 Char"/>
    <w:basedOn w:val="20"/>
    <w:link w:val="8"/>
    <w:qFormat/>
    <w:uiPriority w:val="0"/>
    <w:rPr>
      <w:kern w:val="2"/>
      <w:sz w:val="24"/>
    </w:rPr>
  </w:style>
  <w:style w:type="character" w:customStyle="1" w:styleId="69">
    <w:name w:val="批注框文本 Char"/>
    <w:link w:val="11"/>
    <w:semiHidden/>
    <w:qFormat/>
    <w:uiPriority w:val="99"/>
    <w:rPr>
      <w:rFonts w:ascii="Calibri" w:hAnsi="Calibri" w:eastAsia="宋体"/>
      <w:kern w:val="2"/>
      <w:sz w:val="18"/>
      <w:szCs w:val="18"/>
      <w:lang w:val="en-US" w:eastAsia="zh-CN" w:bidi="ar-SA"/>
    </w:rPr>
  </w:style>
  <w:style w:type="character" w:customStyle="1" w:styleId="70">
    <w:name w:val="页脚 Char"/>
    <w:basedOn w:val="20"/>
    <w:link w:val="12"/>
    <w:qFormat/>
    <w:uiPriority w:val="99"/>
    <w:rPr>
      <w:rFonts w:ascii="Calibri" w:hAnsi="Calibri" w:eastAsia="宋体"/>
      <w:kern w:val="2"/>
      <w:sz w:val="18"/>
      <w:szCs w:val="18"/>
      <w:lang w:val="en-US" w:eastAsia="zh-CN" w:bidi="ar-SA"/>
    </w:rPr>
  </w:style>
  <w:style w:type="character" w:customStyle="1" w:styleId="71">
    <w:name w:val="页眉 Char"/>
    <w:basedOn w:val="20"/>
    <w:link w:val="13"/>
    <w:qFormat/>
    <w:uiPriority w:val="99"/>
    <w:rPr>
      <w:rFonts w:ascii="Calibri" w:hAnsi="Calibri"/>
      <w:kern w:val="2"/>
      <w:sz w:val="18"/>
      <w:szCs w:val="18"/>
    </w:rPr>
  </w:style>
  <w:style w:type="character" w:customStyle="1" w:styleId="72">
    <w:name w:val="副标题 Char"/>
    <w:basedOn w:val="20"/>
    <w:link w:val="15"/>
    <w:qFormat/>
    <w:uiPriority w:val="11"/>
    <w:rPr>
      <w:rFonts w:ascii="Cambria" w:hAnsi="Cambria" w:eastAsia="宋体"/>
      <w:b/>
      <w:bCs/>
      <w:kern w:val="28"/>
      <w:sz w:val="32"/>
      <w:szCs w:val="32"/>
      <w:lang w:val="en-US" w:eastAsia="zh-CN" w:bidi="ar-SA"/>
    </w:rPr>
  </w:style>
  <w:style w:type="character" w:customStyle="1" w:styleId="73">
    <w:name w:val="HTML 预设格式 Char"/>
    <w:basedOn w:val="20"/>
    <w:link w:val="17"/>
    <w:qFormat/>
    <w:uiPriority w:val="0"/>
    <w:rPr>
      <w:rFonts w:ascii="黑体" w:hAnsi="Courier New" w:eastAsia="黑体" w:cs="Courier New"/>
    </w:rPr>
  </w:style>
  <w:style w:type="character" w:customStyle="1" w:styleId="74">
    <w:name w:val="标题 Char"/>
    <w:basedOn w:val="20"/>
    <w:link w:val="19"/>
    <w:qFormat/>
    <w:uiPriority w:val="0"/>
    <w:rPr>
      <w:rFonts w:ascii="Cambria" w:hAnsi="Cambria" w:eastAsia="宋体"/>
      <w:b/>
      <w:bCs/>
      <w:kern w:val="2"/>
      <w:sz w:val="32"/>
      <w:szCs w:val="32"/>
      <w:lang w:val="en-US" w:eastAsia="zh-CN" w:bidi="ar-SA"/>
    </w:rPr>
  </w:style>
  <w:style w:type="character" w:customStyle="1" w:styleId="75">
    <w:name w:val="批注主题 Char"/>
    <w:link w:val="5"/>
    <w:qFormat/>
    <w:uiPriority w:val="99"/>
    <w:rPr>
      <w:rFonts w:ascii="Calibri" w:hAnsi="Calibri" w:eastAsia="宋体"/>
      <w:b/>
      <w:bCs/>
      <w:kern w:val="2"/>
      <w:sz w:val="21"/>
      <w:szCs w:val="22"/>
      <w:lang w:val="en-US" w:eastAsia="zh-CN" w:bidi="ar-SA"/>
    </w:rPr>
  </w:style>
  <w:style w:type="character" w:customStyle="1" w:styleId="76">
    <w:name w:val="条款大标题 Char"/>
    <w:basedOn w:val="74"/>
    <w:link w:val="26"/>
    <w:qFormat/>
    <w:uiPriority w:val="0"/>
  </w:style>
  <w:style w:type="character" w:customStyle="1" w:styleId="77">
    <w:name w:val="apple-style-span"/>
    <w:basedOn w:val="20"/>
    <w:qFormat/>
    <w:uiPriority w:val="0"/>
  </w:style>
  <w:style w:type="character" w:customStyle="1" w:styleId="78">
    <w:name w:val="words1"/>
    <w:basedOn w:val="20"/>
    <w:qFormat/>
    <w:uiPriority w:val="0"/>
    <w:rPr>
      <w:color w:val="000000"/>
      <w:spacing w:val="320"/>
      <w:sz w:val="18"/>
      <w:szCs w:val="18"/>
    </w:rPr>
  </w:style>
  <w:style w:type="character" w:customStyle="1" w:styleId="79">
    <w:name w:val=" Char Char9"/>
    <w:qFormat/>
    <w:uiPriority w:val="0"/>
    <w:rPr>
      <w:rFonts w:ascii="Cambria" w:hAnsi="Cambria" w:eastAsia="宋体"/>
      <w:b/>
      <w:bCs/>
      <w:kern w:val="2"/>
      <w:sz w:val="32"/>
      <w:szCs w:val="32"/>
      <w:lang w:val="en-US" w:eastAsia="zh-CN" w:bidi="ar-SA"/>
    </w:rPr>
  </w:style>
  <w:style w:type="character" w:customStyle="1" w:styleId="80">
    <w:name w:val=" Char Char8"/>
    <w:qFormat/>
    <w:uiPriority w:val="0"/>
    <w:rPr>
      <w:rFonts w:ascii="Calibri" w:hAnsi="Calibri" w:eastAsia="宋体"/>
      <w:kern w:val="2"/>
      <w:sz w:val="18"/>
      <w:szCs w:val="18"/>
      <w:lang w:val="en-US" w:eastAsia="zh-CN" w:bidi="ar-SA"/>
    </w:rPr>
  </w:style>
  <w:style w:type="character" w:customStyle="1" w:styleId="81">
    <w:name w:val=" Char Char7"/>
    <w:qFormat/>
    <w:uiPriority w:val="0"/>
    <w:rPr>
      <w:rFonts w:ascii="Cambria" w:hAnsi="Cambria" w:eastAsia="宋体"/>
      <w:b/>
      <w:bCs/>
      <w:kern w:val="28"/>
      <w:sz w:val="32"/>
      <w:szCs w:val="32"/>
      <w:lang w:val="en-US" w:eastAsia="zh-CN" w:bidi="ar-SA"/>
    </w:rPr>
  </w:style>
  <w:style w:type="character" w:customStyle="1" w:styleId="82">
    <w:name w:val="apple-converted-space"/>
    <w:qFormat/>
    <w:uiPriority w:val="0"/>
  </w:style>
  <w:style w:type="character" w:customStyle="1" w:styleId="83">
    <w:name w:val="注解（小四，楷体） Char"/>
    <w:link w:val="36"/>
    <w:qFormat/>
    <w:uiPriority w:val="0"/>
    <w:rPr>
      <w:rFonts w:ascii="楷体" w:hAnsi="楷体" w:eastAsia="楷体" w:cs="宋体"/>
      <w:sz w:val="24"/>
      <w:szCs w:val="24"/>
      <w:lang w:val="en-US" w:eastAsia="zh-CN" w:bidi="ar-SA"/>
    </w:rPr>
  </w:style>
  <w:style w:type="character" w:customStyle="1" w:styleId="84">
    <w:name w:val="表格（小四，宋体） Char"/>
    <w:link w:val="37"/>
    <w:qFormat/>
    <w:uiPriority w:val="0"/>
    <w:rPr>
      <w:rFonts w:ascii="宋体" w:hAnsi="宋体" w:eastAsia="宋体" w:cs="宋体"/>
      <w:sz w:val="24"/>
      <w:szCs w:val="24"/>
      <w:lang w:val="en-US" w:eastAsia="zh-CN" w:bidi="ar-SA"/>
    </w:rPr>
  </w:style>
  <w:style w:type="character" w:customStyle="1" w:styleId="85">
    <w:name w:val="无间隔 Char"/>
    <w:link w:val="38"/>
    <w:qFormat/>
    <w:uiPriority w:val="1"/>
    <w:rPr>
      <w:rFonts w:ascii="Calibri" w:hAnsi="Calibri"/>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29</Pages>
  <Words>3161</Words>
  <Characters>18024</Characters>
  <Lines>150</Lines>
  <Paragraphs>42</Paragraphs>
  <ScaleCrop>false</ScaleCrop>
  <LinksUpToDate>false</LinksUpToDate>
  <CharactersWithSpaces>21143</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2013-12-15T07:23:00Z</dcterms:created>
  <dc:creator>蔡阳</dc:creator>
  <cp:lastModifiedBy>黎吕鹏</cp:lastModifiedBy>
  <cp:lastPrinted>2013-12-24T09:14:00Z</cp:lastPrinted>
  <dcterms:modified xsi:type="dcterms:W3CDTF">2022-07-05T06:47:31Z</dcterms:modified>
  <dc:title>太平财产保险有限公司</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9B908E51365C4042A0B55989AB46BBBD</vt:lpwstr>
  </property>
</Properties>
</file>