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b/>
          <w:bCs/>
          <w:kern w:val="0"/>
          <w:sz w:val="28"/>
          <w:szCs w:val="28"/>
        </w:rPr>
      </w:pPr>
      <w:r>
        <w:rPr>
          <w:rFonts w:hint="eastAsia" w:ascii="宋体" w:hAnsi="宋体"/>
          <w:b/>
          <w:bCs/>
          <w:kern w:val="0"/>
          <w:sz w:val="28"/>
          <w:szCs w:val="28"/>
        </w:rPr>
        <w:t>太平财产保险有限公司</w:t>
      </w:r>
    </w:p>
    <w:p>
      <w:pPr>
        <w:snapToGrid w:val="0"/>
        <w:spacing w:line="360" w:lineRule="auto"/>
        <w:jc w:val="center"/>
        <w:rPr>
          <w:rFonts w:ascii="宋体" w:hAnsi="宋体"/>
          <w:b/>
          <w:bCs/>
          <w:kern w:val="0"/>
          <w:sz w:val="28"/>
          <w:szCs w:val="28"/>
        </w:rPr>
      </w:pPr>
      <w:r>
        <w:rPr>
          <w:rFonts w:hint="eastAsia" w:ascii="宋体" w:hAnsi="宋体"/>
          <w:b/>
          <w:bCs/>
          <w:sz w:val="28"/>
          <w:szCs w:val="30"/>
        </w:rPr>
        <w:t>借款人意外伤害保险条款</w:t>
      </w:r>
    </w:p>
    <w:p>
      <w:pPr>
        <w:pStyle w:val="2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总则</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第一条 </w:t>
      </w:r>
      <w:r>
        <w:rPr>
          <w:rFonts w:hint="eastAsia" w:asciiTheme="minorEastAsia" w:hAnsiTheme="minorEastAsia" w:eastAsiaTheme="minorEastAsia"/>
          <w:color w:val="000000" w:themeColor="text1"/>
          <w:szCs w:val="21"/>
          <w14:textFill>
            <w14:solidFill>
              <w14:schemeClr w14:val="tx1"/>
            </w14:solidFill>
          </w14:textFill>
        </w:rPr>
        <w:t>本保险合同由保险条款、投保单、保险单、保险凭证以及批单等组成。</w:t>
      </w:r>
      <w:r>
        <w:rPr>
          <w:rFonts w:asciiTheme="minorEastAsia" w:hAnsiTheme="minorEastAsia" w:eastAsiaTheme="minorEastAsia"/>
          <w:color w:val="000000" w:themeColor="text1"/>
          <w:szCs w:val="21"/>
          <w14:textFill>
            <w14:solidFill>
              <w14:schemeClr w14:val="tx1"/>
            </w14:solidFill>
          </w14:textFill>
        </w:rPr>
        <w:t>凡涉及本保险合同的约定，均应采用书面形式。</w:t>
      </w:r>
    </w:p>
    <w:p>
      <w:pPr>
        <w:pStyle w:val="20"/>
        <w:spacing w:line="360" w:lineRule="auto"/>
        <w:ind w:firstLine="422"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第二条 </w:t>
      </w:r>
      <w:r>
        <w:rPr>
          <w:rFonts w:hint="eastAsia" w:asciiTheme="minorEastAsia" w:hAnsiTheme="minorEastAsia" w:eastAsiaTheme="minorEastAsia"/>
          <w:b w:val="0"/>
          <w:color w:val="000000" w:themeColor="text1"/>
          <w:szCs w:val="21"/>
          <w14:textFill>
            <w14:solidFill>
              <w14:schemeClr w14:val="tx1"/>
            </w14:solidFill>
          </w14:textFill>
        </w:rPr>
        <w:t>本保险合同的被保险人包括：</w:t>
      </w:r>
    </w:p>
    <w:p>
      <w:pPr>
        <w:pStyle w:val="20"/>
        <w:spacing w:line="360" w:lineRule="auto"/>
        <w:ind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（一）年龄</w:t>
      </w:r>
      <w:r>
        <w:rPr>
          <w:rFonts w:asciiTheme="minorEastAsia" w:hAnsiTheme="minorEastAsia" w:eastAsiaTheme="minorEastAsia"/>
          <w:b w:val="0"/>
          <w:color w:val="000000" w:themeColor="text1"/>
          <w:szCs w:val="21"/>
          <w14:textFill>
            <w14:solidFill>
              <w14:schemeClr w14:val="tx1"/>
            </w14:solidFill>
          </w14:textFill>
        </w:rPr>
        <w:t>在</w:t>
      </w:r>
      <w:r>
        <w:rPr>
          <w:rFonts w:hint="eastAsia" w:asciiTheme="minorEastAsia" w:hAnsiTheme="minorEastAsia" w:eastAsiaTheme="minorEastAsia"/>
          <w:b w:val="0"/>
          <w:color w:val="000000" w:themeColor="text1"/>
          <w:szCs w:val="21"/>
          <w14:textFill>
            <w14:solidFill>
              <w14:schemeClr w14:val="tx1"/>
            </w14:solidFill>
          </w14:textFill>
        </w:rPr>
        <w:t>十八周岁至六十五周岁（续保者年龄上限可延至六十九周岁）、身体健康、能正常工作或正常生活，向</w:t>
      </w:r>
      <w:r>
        <w:rPr>
          <w:rFonts w:asciiTheme="minorEastAsia" w:hAnsiTheme="minorEastAsia" w:eastAsiaTheme="minorEastAsia"/>
          <w:b w:val="0"/>
          <w:color w:val="000000" w:themeColor="text1"/>
          <w:szCs w:val="21"/>
          <w14:textFill>
            <w14:solidFill>
              <w14:schemeClr w14:val="tx1"/>
            </w14:solidFill>
          </w14:textFill>
        </w:rPr>
        <w:t>依法成立的</w:t>
      </w:r>
      <w:r>
        <w:rPr>
          <w:rFonts w:hint="eastAsia" w:asciiTheme="minorEastAsia" w:hAnsiTheme="minorEastAsia" w:eastAsiaTheme="minorEastAsia"/>
          <w:b w:val="0"/>
          <w:color w:val="000000" w:themeColor="text1"/>
          <w:szCs w:val="21"/>
          <w14:textFill>
            <w14:solidFill>
              <w14:schemeClr w14:val="tx1"/>
            </w14:solidFill>
          </w14:textFill>
        </w:rPr>
        <w:t>银行、合法借贷平台或其他合法金融机构申请</w:t>
      </w:r>
      <w:r>
        <w:rPr>
          <w:rFonts w:asciiTheme="minorEastAsia" w:hAnsiTheme="minorEastAsia" w:eastAsiaTheme="minorEastAsia"/>
          <w:b w:val="0"/>
          <w:color w:val="000000" w:themeColor="text1"/>
          <w:szCs w:val="21"/>
          <w14:textFill>
            <w14:solidFill>
              <w14:schemeClr w14:val="tx1"/>
            </w14:solidFill>
          </w14:textFill>
        </w:rPr>
        <w:t>借款并</w:t>
      </w:r>
      <w:r>
        <w:rPr>
          <w:rFonts w:hint="eastAsia" w:asciiTheme="minorEastAsia" w:hAnsiTheme="minorEastAsia" w:eastAsiaTheme="minorEastAsia"/>
          <w:b w:val="0"/>
          <w:color w:val="000000" w:themeColor="text1"/>
          <w:szCs w:val="21"/>
          <w14:textFill>
            <w14:solidFill>
              <w14:schemeClr w14:val="tx1"/>
            </w14:solidFill>
          </w14:textFill>
        </w:rPr>
        <w:t>订立</w:t>
      </w:r>
      <w:r>
        <w:rPr>
          <w:rFonts w:asciiTheme="minorEastAsia" w:hAnsiTheme="minorEastAsia" w:eastAsiaTheme="minorEastAsia"/>
          <w:b w:val="0"/>
          <w:color w:val="000000" w:themeColor="text1"/>
          <w:szCs w:val="21"/>
          <w14:textFill>
            <w14:solidFill>
              <w14:schemeClr w14:val="tx1"/>
            </w14:solidFill>
          </w14:textFill>
        </w:rPr>
        <w:t>借款合同的自然人。</w:t>
      </w:r>
    </w:p>
    <w:p>
      <w:pPr>
        <w:pStyle w:val="20"/>
        <w:spacing w:line="360" w:lineRule="auto"/>
        <w:ind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借款人投保本保险合同后，经投保人申请，并经保险人同意，借款人的配偶也可以作为本保险合同的被保险人。</w:t>
      </w:r>
    </w:p>
    <w:p>
      <w:pPr>
        <w:pStyle w:val="20"/>
        <w:spacing w:line="360" w:lineRule="auto"/>
        <w:ind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（二）依法</w:t>
      </w:r>
      <w:r>
        <w:rPr>
          <w:rFonts w:asciiTheme="minorEastAsia" w:hAnsiTheme="minorEastAsia" w:eastAsiaTheme="minorEastAsia"/>
          <w:b w:val="0"/>
          <w:color w:val="000000" w:themeColor="text1"/>
          <w:szCs w:val="21"/>
          <w14:textFill>
            <w14:solidFill>
              <w14:schemeClr w14:val="tx1"/>
            </w14:solidFill>
          </w14:textFill>
        </w:rPr>
        <w:t>成立的</w:t>
      </w:r>
      <w:r>
        <w:rPr>
          <w:rFonts w:hint="eastAsia" w:asciiTheme="minorEastAsia" w:hAnsiTheme="minorEastAsia" w:eastAsiaTheme="minorEastAsia"/>
          <w:b w:val="0"/>
          <w:color w:val="000000" w:themeColor="text1"/>
          <w:szCs w:val="21"/>
          <w14:textFill>
            <w14:solidFill>
              <w14:schemeClr w14:val="tx1"/>
            </w14:solidFill>
          </w14:textFill>
        </w:rPr>
        <w:t>企业或其他社会团体（简称</w:t>
      </w:r>
      <w:r>
        <w:rPr>
          <w:rFonts w:asciiTheme="minorEastAsia" w:hAnsiTheme="minorEastAsia" w:eastAsiaTheme="minorEastAsia"/>
          <w:b w:val="0"/>
          <w:color w:val="000000" w:themeColor="text1"/>
          <w:szCs w:val="21"/>
          <w14:textFill>
            <w14:solidFill>
              <w14:schemeClr w14:val="tx1"/>
            </w14:solidFill>
          </w14:textFill>
        </w:rPr>
        <w:t>“</w:t>
      </w:r>
      <w:r>
        <w:rPr>
          <w:rFonts w:hint="eastAsia" w:asciiTheme="minorEastAsia" w:hAnsiTheme="minorEastAsia" w:eastAsiaTheme="minorEastAsia"/>
          <w:b w:val="0"/>
          <w:color w:val="000000" w:themeColor="text1"/>
          <w:szCs w:val="21"/>
          <w14:textFill>
            <w14:solidFill>
              <w14:schemeClr w14:val="tx1"/>
            </w14:solidFill>
          </w14:textFill>
        </w:rPr>
        <w:t>该组织</w:t>
      </w:r>
      <w:r>
        <w:rPr>
          <w:rFonts w:asciiTheme="minorEastAsia" w:hAnsiTheme="minorEastAsia" w:eastAsiaTheme="minorEastAsia"/>
          <w:b w:val="0"/>
          <w:color w:val="000000" w:themeColor="text1"/>
          <w:szCs w:val="21"/>
          <w14:textFill>
            <w14:solidFill>
              <w14:schemeClr w14:val="tx1"/>
            </w14:solidFill>
          </w14:textFill>
        </w:rPr>
        <w:t>”</w:t>
      </w:r>
      <w:r>
        <w:rPr>
          <w:rFonts w:hint="eastAsia" w:asciiTheme="minorEastAsia" w:hAnsiTheme="minorEastAsia" w:eastAsiaTheme="minorEastAsia"/>
          <w:b w:val="0"/>
          <w:color w:val="000000" w:themeColor="text1"/>
          <w:szCs w:val="21"/>
          <w14:textFill>
            <w14:solidFill>
              <w14:schemeClr w14:val="tx1"/>
            </w14:solidFill>
          </w14:textFill>
        </w:rPr>
        <w:t>）向</w:t>
      </w:r>
      <w:r>
        <w:rPr>
          <w:rFonts w:asciiTheme="minorEastAsia" w:hAnsiTheme="minorEastAsia" w:eastAsiaTheme="minorEastAsia"/>
          <w:b w:val="0"/>
          <w:color w:val="000000" w:themeColor="text1"/>
          <w:szCs w:val="21"/>
          <w14:textFill>
            <w14:solidFill>
              <w14:schemeClr w14:val="tx1"/>
            </w14:solidFill>
          </w14:textFill>
        </w:rPr>
        <w:t>依法成立的</w:t>
      </w:r>
      <w:r>
        <w:rPr>
          <w:rFonts w:hint="eastAsia" w:asciiTheme="minorEastAsia" w:hAnsiTheme="minorEastAsia" w:eastAsiaTheme="minorEastAsia"/>
          <w:b w:val="0"/>
          <w:color w:val="000000" w:themeColor="text1"/>
          <w:szCs w:val="21"/>
          <w14:textFill>
            <w14:solidFill>
              <w14:schemeClr w14:val="tx1"/>
            </w14:solidFill>
          </w14:textFill>
        </w:rPr>
        <w:t>银行、合法借贷平台或其他合法金融机构申请</w:t>
      </w:r>
      <w:r>
        <w:rPr>
          <w:rFonts w:asciiTheme="minorEastAsia" w:hAnsiTheme="minorEastAsia" w:eastAsiaTheme="minorEastAsia"/>
          <w:b w:val="0"/>
          <w:color w:val="000000" w:themeColor="text1"/>
          <w:szCs w:val="21"/>
          <w14:textFill>
            <w14:solidFill>
              <w14:schemeClr w14:val="tx1"/>
            </w14:solidFill>
          </w14:textFill>
        </w:rPr>
        <w:t>借款并</w:t>
      </w:r>
      <w:r>
        <w:rPr>
          <w:rFonts w:hint="eastAsia" w:asciiTheme="minorEastAsia" w:hAnsiTheme="minorEastAsia" w:eastAsiaTheme="minorEastAsia"/>
          <w:b w:val="0"/>
          <w:color w:val="000000" w:themeColor="text1"/>
          <w:szCs w:val="21"/>
          <w14:textFill>
            <w14:solidFill>
              <w14:schemeClr w14:val="tx1"/>
            </w14:solidFill>
          </w14:textFill>
        </w:rPr>
        <w:t>订立</w:t>
      </w:r>
      <w:r>
        <w:rPr>
          <w:rFonts w:asciiTheme="minorEastAsia" w:hAnsiTheme="minorEastAsia" w:eastAsiaTheme="minorEastAsia"/>
          <w:b w:val="0"/>
          <w:color w:val="000000" w:themeColor="text1"/>
          <w:szCs w:val="21"/>
          <w14:textFill>
            <w14:solidFill>
              <w14:schemeClr w14:val="tx1"/>
            </w14:solidFill>
          </w14:textFill>
        </w:rPr>
        <w:t>借款合同</w:t>
      </w:r>
      <w:r>
        <w:rPr>
          <w:rFonts w:hint="eastAsia" w:asciiTheme="minorEastAsia" w:hAnsiTheme="minorEastAsia" w:eastAsiaTheme="minorEastAsia"/>
          <w:b w:val="0"/>
          <w:color w:val="000000" w:themeColor="text1"/>
          <w:szCs w:val="21"/>
          <w14:textFill>
            <w14:solidFill>
              <w14:schemeClr w14:val="tx1"/>
            </w14:solidFill>
          </w14:textFill>
        </w:rPr>
        <w:t>，该组织中的年龄</w:t>
      </w:r>
      <w:r>
        <w:rPr>
          <w:rFonts w:asciiTheme="minorEastAsia" w:hAnsiTheme="minorEastAsia" w:eastAsiaTheme="minorEastAsia"/>
          <w:b w:val="0"/>
          <w:color w:val="000000" w:themeColor="text1"/>
          <w:szCs w:val="21"/>
          <w14:textFill>
            <w14:solidFill>
              <w14:schemeClr w14:val="tx1"/>
            </w14:solidFill>
          </w14:textFill>
        </w:rPr>
        <w:t>在</w:t>
      </w:r>
      <w:r>
        <w:rPr>
          <w:rFonts w:hint="eastAsia" w:asciiTheme="minorEastAsia" w:hAnsiTheme="minorEastAsia" w:eastAsiaTheme="minorEastAsia"/>
          <w:b w:val="0"/>
          <w:color w:val="000000" w:themeColor="text1"/>
          <w:szCs w:val="21"/>
          <w14:textFill>
            <w14:solidFill>
              <w14:schemeClr w14:val="tx1"/>
            </w14:solidFill>
          </w14:textFill>
        </w:rPr>
        <w:t>十八周岁至六十五周岁（续保者年龄上限可延至六十九周岁）、身体健康、能正常工作或正常生活的法定代表人、控股股东、高级管理人员、社会团体组织负责人等自然人，经投保人申请，并经保险人同意，可以作为本保险合同的被保险人。</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第三条 </w:t>
      </w:r>
      <w:r>
        <w:rPr>
          <w:rFonts w:hint="eastAsia" w:asciiTheme="minorEastAsia" w:hAnsiTheme="minorEastAsia" w:eastAsiaTheme="minorEastAsia"/>
          <w:b w:val="0"/>
          <w:color w:val="000000" w:themeColor="text1"/>
          <w:szCs w:val="21"/>
          <w14:textFill>
            <w14:solidFill>
              <w14:schemeClr w14:val="tx1"/>
            </w14:solidFill>
          </w14:textFill>
        </w:rPr>
        <w:t>本保险合同的投保人应为具有完全民事行为能力的被保险人本人、对被保险人有保险利益的其他人。</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第四条 </w:t>
      </w:r>
      <w:r>
        <w:rPr>
          <w:rFonts w:hint="eastAsia" w:asciiTheme="minorEastAsia" w:hAnsiTheme="minorEastAsia" w:eastAsiaTheme="minorEastAsia"/>
          <w:b w:val="0"/>
          <w:color w:val="000000" w:themeColor="text1"/>
          <w:szCs w:val="21"/>
          <w14:textFill>
            <w14:solidFill>
              <w14:schemeClr w14:val="tx1"/>
            </w14:solidFill>
          </w14:textFill>
        </w:rPr>
        <w:t>本保险合同的受益人包括：</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（一）意外身故保险金受益人</w:t>
      </w:r>
    </w:p>
    <w:p>
      <w:pPr>
        <w:adjustRightInd w:val="0"/>
        <w:snapToGrid w:val="0"/>
        <w:spacing w:line="360" w:lineRule="auto"/>
        <w:ind w:firstLine="422" w:firstLineChars="200"/>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订立本保险合同时，被保险人或投保人可指定一人或数人为身故保险金受益人。</w:t>
      </w:r>
      <w:r>
        <w:rPr>
          <w:rFonts w:hint="eastAsia" w:ascii="宋体" w:hAnsi="宋体"/>
          <w:color w:val="000000" w:themeColor="text1"/>
          <w:szCs w:val="21"/>
          <w14:textFill>
            <w14:solidFill>
              <w14:schemeClr w14:val="tx1"/>
            </w14:solidFill>
          </w14:textFill>
        </w:rPr>
        <w:t>身故保险金受益人为数人时，应确定其受益顺序和受益份额；未确定受益份额的，各身故保险金受益人按照相等份额享有受益权。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被保险人死亡后，有下列情形之一的，保险金作为被保险人的遗产，由保险人依照《中华人民共和国继承法》的规定履行给付保险金的义务：</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1、没有指定受益人，或者受益人指定不明无法确定的；</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2、受益人先于被保险人死亡，没有其他受益人的；</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3、受益人依法丧失受益权或者放弃受益权，没有其他受益人的。</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受益人与被保险人在同一事件中死亡，且不能确定死亡先后顺序的，推定受益人死亡在先。</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被保险人或投保人可以变更身故保险金受益人，但需书面通知保险人，由保险人在本保险合同上批注。</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投保人指定或变更身故保险金受益人的，应经被保险人书面同意。被保险人为无民事行为能力人或限制民事行为能力人的，应由其监护人指定或变更身故保险金受益人。</w:t>
      </w:r>
    </w:p>
    <w:p>
      <w:pPr>
        <w:adjustRightInd w:val="0"/>
        <w:snapToGrid w:val="0"/>
        <w:spacing w:line="360" w:lineRule="auto"/>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受益人故意造成被保险人身故、伤残的，或者故意杀害被保险人未遂的，该受益人丧失受益权。</w:t>
      </w:r>
    </w:p>
    <w:p>
      <w:pPr>
        <w:adjustRightInd w:val="0"/>
        <w:snapToGrid w:val="0"/>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（二）意外残疾保险金受益人</w:t>
      </w:r>
    </w:p>
    <w:p>
      <w:pPr>
        <w:adjustRightInd w:val="0"/>
        <w:snapToGrid w:val="0"/>
        <w:spacing w:line="360" w:lineRule="auto"/>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除另有约定外，本保险合同的意外残疾保险金的受益人为被保险人本人。</w:t>
      </w:r>
    </w:p>
    <w:p>
      <w:pPr>
        <w:adjustRightInd w:val="0"/>
        <w:snapToGrid w:val="0"/>
        <w:spacing w:line="360" w:lineRule="auto"/>
        <w:ind w:firstLine="420" w:firstLineChars="200"/>
        <w:rPr>
          <w:rFonts w:ascii="宋体" w:hAnsi="宋体"/>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（三）</w:t>
      </w:r>
      <w:r>
        <w:rPr>
          <w:rFonts w:hint="eastAsia" w:ascii="宋体" w:hAnsi="宋体"/>
          <w:b/>
          <w:color w:val="000000" w:themeColor="text1"/>
          <w:szCs w:val="21"/>
          <w14:textFill>
            <w14:solidFill>
              <w14:schemeClr w14:val="tx1"/>
            </w14:solidFill>
          </w14:textFill>
        </w:rPr>
        <w:t>订立保险合同时，若经被保险人书面同意，也可指定向被保险人提供借款的</w:t>
      </w:r>
      <w:r>
        <w:rPr>
          <w:rFonts w:hint="eastAsia" w:asciiTheme="minorEastAsia" w:hAnsiTheme="minorEastAsia" w:eastAsiaTheme="minorEastAsia"/>
          <w:b/>
          <w:color w:val="000000" w:themeColor="text1"/>
          <w:szCs w:val="21"/>
          <w14:textFill>
            <w14:solidFill>
              <w14:schemeClr w14:val="tx1"/>
            </w14:solidFill>
          </w14:textFill>
        </w:rPr>
        <w:t>银行、合法借贷平台或其他合法金融机构</w:t>
      </w:r>
      <w:r>
        <w:rPr>
          <w:rFonts w:hint="eastAsia" w:ascii="宋体" w:hAnsi="宋体"/>
          <w:b/>
          <w:color w:val="000000" w:themeColor="text1"/>
          <w:szCs w:val="21"/>
          <w14:textFill>
            <w14:solidFill>
              <w14:schemeClr w14:val="tx1"/>
            </w14:solidFill>
          </w14:textFill>
        </w:rPr>
        <w:t>为意外身故、意外伤残保险金的第一顺序受益人，</w:t>
      </w:r>
      <w:r>
        <w:rPr>
          <w:rFonts w:ascii="宋体" w:hAnsi="宋体"/>
          <w:b/>
          <w:color w:val="000000" w:themeColor="text1"/>
          <w:szCs w:val="21"/>
          <w14:textFill>
            <w14:solidFill>
              <w14:schemeClr w14:val="tx1"/>
            </w14:solidFill>
          </w14:textFill>
        </w:rPr>
        <w:t>并在保险单中载明</w:t>
      </w:r>
      <w:r>
        <w:rPr>
          <w:rFonts w:hint="eastAsia" w:ascii="宋体" w:hAnsi="宋体"/>
          <w:b/>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其受益金额为发生保险事故时被保险人应承担的</w:t>
      </w:r>
      <w:r>
        <w:rPr>
          <w:rFonts w:hint="eastAsia" w:asciiTheme="minorEastAsia" w:hAnsiTheme="minorEastAsia" w:eastAsiaTheme="minorEastAsia"/>
          <w:b/>
          <w:bCs/>
          <w:color w:val="000000" w:themeColor="text1"/>
          <w:szCs w:val="21"/>
          <w14:textFill>
            <w14:solidFill>
              <w14:schemeClr w14:val="tx1"/>
            </w14:solidFill>
          </w14:textFill>
        </w:rPr>
        <w:t>借款余额（含本金、利息、罚息等，以下同）</w:t>
      </w:r>
      <w:r>
        <w:rPr>
          <w:rFonts w:hint="eastAsia" w:ascii="宋体" w:hAnsi="宋体"/>
          <w:b/>
          <w:bCs/>
          <w:color w:val="000000" w:themeColor="text1"/>
          <w:szCs w:val="21"/>
          <w14:textFill>
            <w14:solidFill>
              <w14:schemeClr w14:val="tx1"/>
            </w14:solidFill>
          </w14:textFill>
        </w:rPr>
        <w:t>，最高以保险金额为限。被保险人提前还清贷款后，</w:t>
      </w:r>
      <w:r>
        <w:rPr>
          <w:rFonts w:hint="eastAsia" w:asciiTheme="minorEastAsia" w:hAnsiTheme="minorEastAsia" w:eastAsiaTheme="minorEastAsia"/>
          <w:b/>
          <w:bCs/>
          <w:color w:val="000000" w:themeColor="text1"/>
          <w:szCs w:val="21"/>
          <w14:textFill>
            <w14:solidFill>
              <w14:schemeClr w14:val="tx1"/>
            </w14:solidFill>
          </w14:textFill>
        </w:rPr>
        <w:t>银行、合法借贷平台或其他合法金融机构</w:t>
      </w:r>
      <w:r>
        <w:rPr>
          <w:rFonts w:hint="eastAsia" w:ascii="宋体" w:hAnsi="宋体"/>
          <w:b/>
          <w:bCs/>
          <w:color w:val="000000" w:themeColor="text1"/>
          <w:szCs w:val="21"/>
          <w14:textFill>
            <w14:solidFill>
              <w14:schemeClr w14:val="tx1"/>
            </w14:solidFill>
          </w14:textFill>
        </w:rPr>
        <w:t>不再作为第一受益人，其他受益人的受益顺序依次提前。</w:t>
      </w:r>
    </w:p>
    <w:p>
      <w:pPr>
        <w:pStyle w:val="2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保险责任</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第五条 </w:t>
      </w:r>
      <w:r>
        <w:rPr>
          <w:rFonts w:hint="eastAsia" w:asciiTheme="minorEastAsia" w:hAnsiTheme="minorEastAsia" w:eastAsiaTheme="minorEastAsia"/>
          <w:b w:val="0"/>
          <w:color w:val="000000" w:themeColor="text1"/>
          <w:szCs w:val="21"/>
          <w14:textFill>
            <w14:solidFill>
              <w14:schemeClr w14:val="tx1"/>
            </w14:solidFill>
          </w14:textFill>
        </w:rPr>
        <w:t>保险期间内，因遭受意外伤害事故导致被保险人身故、伤残的，保险人依照下列约定给付保险金，且给付各项保险金之和不超过保险金额。</w:t>
      </w:r>
    </w:p>
    <w:p>
      <w:pPr>
        <w:pStyle w:val="20"/>
        <w:spacing w:line="360" w:lineRule="auto"/>
        <w:ind w:firstLine="420" w:firstLineChars="200"/>
        <w:rPr>
          <w:rFonts w:asciiTheme="minorEastAsia" w:hAnsiTheme="minorEastAsia" w:eastAsiaTheme="minorEastAsia"/>
          <w:b w:val="0"/>
          <w:color w:val="000000" w:themeColor="text1"/>
          <w:szCs w:val="21"/>
          <w:u w:val="single"/>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（一）身故保险责任</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保险期间内，被保险人遭受意外伤害事故，并自事故发生之日起180日内因该事故身故的，保险人按意外伤害保险金额给付身故保险金，对该被保险人的保险责任终止。</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因遭受意外伤害事故且自该事故发生日起下落不明，后经人民法院宣告死亡的，保险人按意外伤害保险金额给付身故保险金。但若被保险人被宣告死亡后生还的，保险金受领人应于知道或应当知道被保险人生还后30日内退还保险人给付的身故保险金。</w:t>
      </w:r>
    </w:p>
    <w:p>
      <w:pPr>
        <w:pStyle w:val="20"/>
        <w:spacing w:line="360" w:lineRule="auto"/>
        <w:ind w:firstLine="420" w:firstLineChars="200"/>
        <w:rPr>
          <w:rFonts w:asciiTheme="minorEastAsia" w:hAnsiTheme="minorEastAsia" w:eastAsiaTheme="minorEastAsia"/>
          <w:b w:val="0"/>
          <w:color w:val="000000" w:themeColor="text1"/>
          <w:szCs w:val="21"/>
          <w:u w:val="single"/>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（二）伤残保险责任</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保险期间内，被保险人遭受意外伤害事故，并自该事故发生之日起180日因该事故造成</w:t>
      </w:r>
      <w:r>
        <w:rPr>
          <w:rFonts w:hint="eastAsia" w:ascii="宋体" w:hAnsi="宋体"/>
          <w:b/>
          <w:bCs/>
          <w:szCs w:val="21"/>
        </w:rPr>
        <w:t>《人身保险伤残评定标准及代码》（标准编号为JR/T 0083－2013）（中国保险行业协会、中国法医学会于二零一三年六月八日联合发布，以下简称“《残疾评定行业标准》”）</w:t>
      </w:r>
      <w:r>
        <w:rPr>
          <w:rFonts w:hint="eastAsia" w:asciiTheme="minorEastAsia" w:hAnsiTheme="minorEastAsia" w:eastAsiaTheme="minorEastAsia"/>
          <w:color w:val="000000" w:themeColor="text1"/>
          <w:szCs w:val="21"/>
          <w14:textFill>
            <w14:solidFill>
              <w14:schemeClr w14:val="tx1"/>
            </w14:solidFill>
          </w14:textFill>
        </w:rPr>
        <w:t>所列伤残之一的，保险人按该表所列给付比例乘以意外伤害保险金额给付残疾保险金。如第180日治疗仍未结束的，按当日的身体情况进行残疾鉴定，并据此给付伤残保险金。</w:t>
      </w:r>
    </w:p>
    <w:p>
      <w:pPr>
        <w:pStyle w:val="19"/>
        <w:spacing w:after="50" w:line="360" w:lineRule="auto"/>
        <w:ind w:left="0" w:left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被保险人因同一保险事故造成两处或两处以上伤残时，应首先对各处伤残程度分别进行评定，如果几处伤残等级不同，以最高的伤残等级作为最终的评定结论；如果两处或两处以上伤残等级相同，伤残等级在原评定基础上晋升一级，最高晋升至第一级。同一部位和性质的伤残，不应采用《残疾评定行业标准》条文两条以上或者同一条文两次以上进行评定。</w:t>
      </w:r>
    </w:p>
    <w:p>
      <w:pPr>
        <w:pStyle w:val="19"/>
        <w:spacing w:after="50" w:line="360" w:lineRule="auto"/>
        <w:ind w:left="0" w:leftChars="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（2）被保险人如在本次意外伤害事故之前已有残疾，保险人按合并后的残疾程度在《残疾评定行业标准》中所对应的给付比例给付残疾保险金，</w:t>
      </w:r>
      <w:r>
        <w:rPr>
          <w:rFonts w:hint="eastAsia" w:ascii="宋体" w:hAnsi="宋体"/>
          <w:b/>
          <w:color w:val="000000" w:themeColor="text1"/>
          <w:szCs w:val="21"/>
          <w14:textFill>
            <w14:solidFill>
              <w14:schemeClr w14:val="tx1"/>
            </w14:solidFill>
          </w14:textFill>
        </w:rPr>
        <w:t>但应扣除原有残疾程度在《残疾评定行业标准》所对应的残疾保险金。</w:t>
      </w:r>
    </w:p>
    <w:p>
      <w:pPr>
        <w:pStyle w:val="19"/>
        <w:spacing w:after="50"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在保险期间内，前述第（一）、（二）款下的保险金累计给付金额以保险单载明的保险金额为限。</w:t>
      </w:r>
    </w:p>
    <w:p>
      <w:pPr>
        <w:pStyle w:val="2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责任免除</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第六条 因下列原因造成被保险人身故、伤残的，保险人不承担给付保险金责任：</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（一）借款</w:t>
      </w:r>
      <w:r>
        <w:rPr>
          <w:rFonts w:asciiTheme="minorEastAsia" w:hAnsiTheme="minorEastAsia" w:eastAsiaTheme="minorEastAsia"/>
          <w:color w:val="000000" w:themeColor="text1"/>
          <w:szCs w:val="21"/>
          <w14:textFill>
            <w14:solidFill>
              <w14:schemeClr w14:val="tx1"/>
            </w14:solidFill>
          </w14:textFill>
        </w:rPr>
        <w:t>合同被依法撤销或解除的，或借款合同</w:t>
      </w:r>
      <w:r>
        <w:rPr>
          <w:rFonts w:hint="eastAsia" w:asciiTheme="minorEastAsia" w:hAnsiTheme="minorEastAsia" w:eastAsiaTheme="minorEastAsia"/>
          <w:color w:val="000000" w:themeColor="text1"/>
          <w:szCs w:val="21"/>
          <w14:textFill>
            <w14:solidFill>
              <w14:schemeClr w14:val="tx1"/>
            </w14:solidFill>
          </w14:textFill>
        </w:rPr>
        <w:t>不成立</w:t>
      </w:r>
      <w:r>
        <w:rPr>
          <w:rFonts w:asciiTheme="minorEastAsia" w:hAnsiTheme="minorEastAsia" w:eastAsiaTheme="minorEastAsia"/>
          <w:color w:val="000000" w:themeColor="text1"/>
          <w:szCs w:val="21"/>
          <w14:textFill>
            <w14:solidFill>
              <w14:schemeClr w14:val="tx1"/>
            </w14:solidFill>
          </w14:textFill>
        </w:rPr>
        <w:t>、不生效或</w:t>
      </w:r>
      <w:r>
        <w:rPr>
          <w:rFonts w:hint="eastAsia" w:asciiTheme="minorEastAsia" w:hAnsiTheme="minorEastAsia" w:eastAsiaTheme="minorEastAsia"/>
          <w:color w:val="000000" w:themeColor="text1"/>
          <w:szCs w:val="21"/>
          <w14:textFill>
            <w14:solidFill>
              <w14:schemeClr w14:val="tx1"/>
            </w14:solidFill>
          </w14:textFill>
        </w:rPr>
        <w:t>终止</w:t>
      </w:r>
      <w:r>
        <w:rPr>
          <w:rFonts w:asciiTheme="minorEastAsia" w:hAnsiTheme="minorEastAsia" w:eastAsiaTheme="minorEastAsia"/>
          <w:color w:val="000000" w:themeColor="text1"/>
          <w:szCs w:val="21"/>
          <w14:textFill>
            <w14:solidFill>
              <w14:schemeClr w14:val="tx1"/>
            </w14:solidFill>
          </w14:textFill>
        </w:rPr>
        <w:t>的；</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（二）投保人的故意行为；</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（三）被保险人自致伤害或自杀，但被保险人自杀时为无民事行为能力人的除外；</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（四）因被保险人挑衅或故意行为而导致的打斗、被袭击、被谋杀、殴斗；</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（五）被保险人妊娠（包括宫外孕）、流产（但因遭受意外伤害所致不在此限）、堕胎、安胎、分娩、疾病、药物过敏、食物中毒；</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（六）被保险人未遵医嘱，私自服用、涂用、注射药物；</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（七）被保险人接受整容手术及其他内、外科手术；</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（八）各类疾病，以及高原反应、中暑、猝死；</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（九）非因意外伤害导致的细菌或病毒感染；</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（十）被保险人犯罪或拒捕；</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（十一）任何生物、化学、原子能武器，原子能或核能装置所造成的爆炸、灼伤、污染或辐射；</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（十二）恐怖袭击</w:t>
      </w:r>
      <w:r>
        <w:rPr>
          <w:rFonts w:hint="eastAsia" w:asciiTheme="minorEastAsia" w:hAnsiTheme="minorEastAsia" w:eastAsiaTheme="minorEastAsia"/>
          <w:color w:val="000000" w:themeColor="text1"/>
          <w:szCs w:val="21"/>
          <w:lang w:eastAsia="zh-CN"/>
          <w14:textFill>
            <w14:solidFill>
              <w14:schemeClr w14:val="tx1"/>
            </w14:solidFill>
          </w14:textFill>
        </w:rPr>
        <w:t>；</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（十三）被保险人从事高风险运动或参加职业或半职业体育运动；</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（十四）被保险人因被恶意催收、暴力催收等非法行为导致</w:t>
      </w:r>
      <w:r>
        <w:rPr>
          <w:rFonts w:asciiTheme="minorEastAsia" w:hAnsiTheme="minorEastAsia" w:eastAsiaTheme="minorEastAsia"/>
          <w:b/>
          <w:color w:val="000000" w:themeColor="text1"/>
          <w:szCs w:val="21"/>
          <w14:textFill>
            <w14:solidFill>
              <w14:schemeClr w14:val="tx1"/>
            </w14:solidFill>
          </w14:textFill>
        </w:rPr>
        <w:t>身故或伤残</w:t>
      </w:r>
      <w:r>
        <w:rPr>
          <w:rFonts w:hint="eastAsia" w:asciiTheme="minorEastAsia" w:hAnsiTheme="minorEastAsia" w:eastAsiaTheme="minorEastAsia"/>
          <w:b/>
          <w:color w:val="000000" w:themeColor="text1"/>
          <w:szCs w:val="21"/>
          <w14:textFill>
            <w14:solidFill>
              <w14:schemeClr w14:val="tx1"/>
            </w14:solidFill>
          </w14:textFill>
        </w:rPr>
        <w:t>的；</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（十五）被保险人未按照</w:t>
      </w:r>
      <w:r>
        <w:rPr>
          <w:rFonts w:asciiTheme="minorEastAsia" w:hAnsiTheme="minorEastAsia" w:eastAsiaTheme="minorEastAsia"/>
          <w:b/>
          <w:color w:val="000000" w:themeColor="text1"/>
          <w:szCs w:val="21"/>
          <w14:textFill>
            <w14:solidFill>
              <w14:schemeClr w14:val="tx1"/>
            </w14:solidFill>
          </w14:textFill>
        </w:rPr>
        <w:t>借款合同约定</w:t>
      </w:r>
      <w:r>
        <w:rPr>
          <w:rFonts w:hint="eastAsia" w:asciiTheme="minorEastAsia" w:hAnsiTheme="minorEastAsia" w:eastAsiaTheme="minorEastAsia"/>
          <w:b/>
          <w:color w:val="000000" w:themeColor="text1"/>
          <w:szCs w:val="21"/>
          <w14:textFill>
            <w14:solidFill>
              <w14:schemeClr w14:val="tx1"/>
            </w14:solidFill>
          </w14:textFill>
        </w:rPr>
        <w:t>擅自</w:t>
      </w:r>
      <w:r>
        <w:rPr>
          <w:rFonts w:asciiTheme="minorEastAsia" w:hAnsiTheme="minorEastAsia" w:eastAsiaTheme="minorEastAsia"/>
          <w:b/>
          <w:color w:val="000000" w:themeColor="text1"/>
          <w:szCs w:val="21"/>
          <w14:textFill>
            <w14:solidFill>
              <w14:schemeClr w14:val="tx1"/>
            </w14:solidFill>
          </w14:textFill>
        </w:rPr>
        <w:t>改变借款用途</w:t>
      </w:r>
      <w:r>
        <w:rPr>
          <w:rFonts w:hint="eastAsia" w:asciiTheme="minorEastAsia" w:hAnsiTheme="minorEastAsia" w:eastAsiaTheme="minorEastAsia"/>
          <w:b/>
          <w:color w:val="000000" w:themeColor="text1"/>
          <w:szCs w:val="21"/>
          <w14:textFill>
            <w14:solidFill>
              <w14:schemeClr w14:val="tx1"/>
            </w14:solidFill>
          </w14:textFill>
        </w:rPr>
        <w:t>的；</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（十六）被保险人</w:t>
      </w:r>
      <w:r>
        <w:rPr>
          <w:rFonts w:asciiTheme="minorEastAsia" w:hAnsiTheme="minorEastAsia" w:eastAsiaTheme="minorEastAsia"/>
          <w:b/>
          <w:color w:val="000000" w:themeColor="text1"/>
          <w:szCs w:val="21"/>
          <w14:textFill>
            <w14:solidFill>
              <w14:schemeClr w14:val="tx1"/>
            </w14:solidFill>
          </w14:textFill>
        </w:rPr>
        <w:t>挪用借款</w:t>
      </w:r>
      <w:r>
        <w:rPr>
          <w:rFonts w:hint="eastAsia" w:asciiTheme="minorEastAsia" w:hAnsiTheme="minorEastAsia" w:eastAsiaTheme="minorEastAsia"/>
          <w:b/>
          <w:color w:val="000000" w:themeColor="text1"/>
          <w:szCs w:val="21"/>
          <w14:textFill>
            <w14:solidFill>
              <w14:schemeClr w14:val="tx1"/>
            </w14:solidFill>
          </w14:textFill>
        </w:rPr>
        <w:t>从事</w:t>
      </w:r>
      <w:r>
        <w:rPr>
          <w:rFonts w:asciiTheme="minorEastAsia" w:hAnsiTheme="minorEastAsia" w:eastAsiaTheme="minorEastAsia"/>
          <w:b/>
          <w:color w:val="000000" w:themeColor="text1"/>
          <w:szCs w:val="21"/>
          <w14:textFill>
            <w14:solidFill>
              <w14:schemeClr w14:val="tx1"/>
            </w14:solidFill>
          </w14:textFill>
        </w:rPr>
        <w:t>违法犯罪等</w:t>
      </w:r>
      <w:r>
        <w:rPr>
          <w:rFonts w:hint="eastAsia" w:asciiTheme="minorEastAsia" w:hAnsiTheme="minorEastAsia" w:eastAsiaTheme="minorEastAsia"/>
          <w:b/>
          <w:color w:val="000000" w:themeColor="text1"/>
          <w:szCs w:val="21"/>
          <w14:textFill>
            <w14:solidFill>
              <w14:schemeClr w14:val="tx1"/>
            </w14:solidFill>
          </w14:textFill>
        </w:rPr>
        <w:t>非法</w:t>
      </w:r>
      <w:r>
        <w:rPr>
          <w:rFonts w:asciiTheme="minorEastAsia" w:hAnsiTheme="minorEastAsia" w:eastAsiaTheme="minorEastAsia"/>
          <w:b/>
          <w:color w:val="000000" w:themeColor="text1"/>
          <w:szCs w:val="21"/>
          <w14:textFill>
            <w14:solidFill>
              <w14:schemeClr w14:val="tx1"/>
            </w14:solidFill>
          </w14:textFill>
        </w:rPr>
        <w:t>目的的</w:t>
      </w:r>
      <w:r>
        <w:rPr>
          <w:rFonts w:hint="eastAsia" w:asciiTheme="minorEastAsia" w:hAnsiTheme="minorEastAsia" w:eastAsiaTheme="minorEastAsia"/>
          <w:b/>
          <w:color w:val="000000" w:themeColor="text1"/>
          <w:szCs w:val="21"/>
          <w14:textFill>
            <w14:solidFill>
              <w14:schemeClr w14:val="tx1"/>
            </w14:solidFill>
          </w14:textFill>
        </w:rPr>
        <w:t>；</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（十七）被保险人</w:t>
      </w:r>
      <w:r>
        <w:rPr>
          <w:rFonts w:asciiTheme="minorEastAsia" w:hAnsiTheme="minorEastAsia" w:eastAsiaTheme="minorEastAsia"/>
          <w:b/>
          <w:color w:val="000000" w:themeColor="text1"/>
          <w:szCs w:val="21"/>
          <w14:textFill>
            <w14:solidFill>
              <w14:schemeClr w14:val="tx1"/>
            </w14:solidFill>
          </w14:textFill>
        </w:rPr>
        <w:t>挪用借款</w:t>
      </w:r>
      <w:r>
        <w:rPr>
          <w:rFonts w:hint="eastAsia" w:asciiTheme="minorEastAsia" w:hAnsiTheme="minorEastAsia" w:eastAsiaTheme="minorEastAsia"/>
          <w:b/>
          <w:color w:val="000000" w:themeColor="text1"/>
          <w:szCs w:val="21"/>
          <w14:textFill>
            <w14:solidFill>
              <w14:schemeClr w14:val="tx1"/>
            </w14:solidFill>
          </w14:textFill>
        </w:rPr>
        <w:t>从事</w:t>
      </w:r>
      <w:r>
        <w:rPr>
          <w:rFonts w:asciiTheme="minorEastAsia" w:hAnsiTheme="minorEastAsia" w:eastAsiaTheme="minorEastAsia"/>
          <w:b/>
          <w:color w:val="000000" w:themeColor="text1"/>
          <w:szCs w:val="21"/>
          <w14:textFill>
            <w14:solidFill>
              <w14:schemeClr w14:val="tx1"/>
            </w14:solidFill>
          </w14:textFill>
        </w:rPr>
        <w:t>国家相关法律法规明确禁止</w:t>
      </w:r>
      <w:r>
        <w:rPr>
          <w:rFonts w:hint="eastAsia" w:asciiTheme="minorEastAsia" w:hAnsiTheme="minorEastAsia" w:eastAsiaTheme="minorEastAsia"/>
          <w:b/>
          <w:color w:val="000000" w:themeColor="text1"/>
          <w:szCs w:val="21"/>
          <w14:textFill>
            <w14:solidFill>
              <w14:schemeClr w14:val="tx1"/>
            </w14:solidFill>
          </w14:textFill>
        </w:rPr>
        <w:t>的</w:t>
      </w:r>
      <w:r>
        <w:rPr>
          <w:rFonts w:asciiTheme="minorEastAsia" w:hAnsiTheme="minorEastAsia" w:eastAsiaTheme="minorEastAsia"/>
          <w:b/>
          <w:color w:val="000000" w:themeColor="text1"/>
          <w:szCs w:val="21"/>
          <w14:textFill>
            <w14:solidFill>
              <w14:schemeClr w14:val="tx1"/>
            </w14:solidFill>
          </w14:textFill>
        </w:rPr>
        <w:t>行为的，包括但不限于挪用借款从事“</w:t>
      </w:r>
      <w:r>
        <w:rPr>
          <w:rFonts w:hint="eastAsia" w:asciiTheme="minorEastAsia" w:hAnsiTheme="minorEastAsia" w:eastAsiaTheme="minorEastAsia"/>
          <w:b/>
          <w:color w:val="000000" w:themeColor="text1"/>
          <w:szCs w:val="21"/>
          <w14:textFill>
            <w14:solidFill>
              <w14:schemeClr w14:val="tx1"/>
            </w14:solidFill>
          </w14:textFill>
        </w:rPr>
        <w:t>首付贷</w:t>
      </w: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等国家</w:t>
      </w:r>
      <w:r>
        <w:rPr>
          <w:rFonts w:asciiTheme="minorEastAsia" w:hAnsiTheme="minorEastAsia" w:eastAsiaTheme="minorEastAsia"/>
          <w:b/>
          <w:color w:val="000000" w:themeColor="text1"/>
          <w:szCs w:val="21"/>
          <w14:textFill>
            <w14:solidFill>
              <w14:schemeClr w14:val="tx1"/>
            </w14:solidFill>
          </w14:textFill>
        </w:rPr>
        <w:t>明文规定的</w:t>
      </w:r>
      <w:r>
        <w:rPr>
          <w:rFonts w:hint="eastAsia" w:asciiTheme="minorEastAsia" w:hAnsiTheme="minorEastAsia" w:eastAsiaTheme="minorEastAsia"/>
          <w:b/>
          <w:color w:val="000000" w:themeColor="text1"/>
          <w:szCs w:val="21"/>
          <w14:textFill>
            <w14:solidFill>
              <w14:schemeClr w14:val="tx1"/>
            </w14:solidFill>
          </w14:textFill>
        </w:rPr>
        <w:t>禁止</w:t>
      </w:r>
      <w:r>
        <w:rPr>
          <w:rFonts w:asciiTheme="minorEastAsia" w:hAnsiTheme="minorEastAsia" w:eastAsiaTheme="minorEastAsia"/>
          <w:b/>
          <w:color w:val="000000" w:themeColor="text1"/>
          <w:szCs w:val="21"/>
          <w14:textFill>
            <w14:solidFill>
              <w14:schemeClr w14:val="tx1"/>
            </w14:solidFill>
          </w14:textFill>
        </w:rPr>
        <w:t>行为</w:t>
      </w:r>
      <w:r>
        <w:rPr>
          <w:rFonts w:hint="eastAsia" w:asciiTheme="minorEastAsia" w:hAnsiTheme="minorEastAsia" w:eastAsiaTheme="minorEastAsia"/>
          <w:b/>
          <w:color w:val="000000" w:themeColor="text1"/>
          <w:szCs w:val="21"/>
          <w14:textFill>
            <w14:solidFill>
              <w14:schemeClr w14:val="tx1"/>
            </w14:solidFill>
          </w14:textFill>
        </w:rPr>
        <w:t>等；</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（十八）被保险人通过</w:t>
      </w:r>
      <w:r>
        <w:rPr>
          <w:rFonts w:asciiTheme="minorEastAsia" w:hAnsiTheme="minorEastAsia" w:eastAsiaTheme="minorEastAsia"/>
          <w:b/>
          <w:color w:val="000000" w:themeColor="text1"/>
          <w:szCs w:val="21"/>
          <w14:textFill>
            <w14:solidFill>
              <w14:schemeClr w14:val="tx1"/>
            </w14:solidFill>
          </w14:textFill>
        </w:rPr>
        <w:t>虚构借款事实、</w:t>
      </w:r>
      <w:r>
        <w:rPr>
          <w:rFonts w:hint="eastAsia" w:asciiTheme="minorEastAsia" w:hAnsiTheme="minorEastAsia" w:eastAsiaTheme="minorEastAsia"/>
          <w:b/>
          <w:color w:val="000000" w:themeColor="text1"/>
          <w:szCs w:val="21"/>
          <w14:textFill>
            <w14:solidFill>
              <w14:schemeClr w14:val="tx1"/>
            </w14:solidFill>
          </w14:textFill>
        </w:rPr>
        <w:t>伪造</w:t>
      </w:r>
      <w:r>
        <w:rPr>
          <w:rFonts w:asciiTheme="minorEastAsia" w:hAnsiTheme="minorEastAsia" w:eastAsiaTheme="minorEastAsia"/>
          <w:b/>
          <w:color w:val="000000" w:themeColor="text1"/>
          <w:szCs w:val="21"/>
          <w14:textFill>
            <w14:solidFill>
              <w14:schemeClr w14:val="tx1"/>
            </w14:solidFill>
          </w14:textFill>
        </w:rPr>
        <w:t>身份证明、伪造资信报告、虚构借款</w:t>
      </w:r>
      <w:r>
        <w:rPr>
          <w:rFonts w:hint="eastAsia" w:asciiTheme="minorEastAsia" w:hAnsiTheme="minorEastAsia" w:eastAsiaTheme="minorEastAsia"/>
          <w:b/>
          <w:color w:val="000000" w:themeColor="text1"/>
          <w:szCs w:val="21"/>
          <w14:textFill>
            <w14:solidFill>
              <w14:schemeClr w14:val="tx1"/>
            </w14:solidFill>
          </w14:textFill>
        </w:rPr>
        <w:t>用途或</w:t>
      </w:r>
      <w:r>
        <w:rPr>
          <w:rFonts w:asciiTheme="minorEastAsia" w:hAnsiTheme="minorEastAsia" w:eastAsiaTheme="minorEastAsia"/>
          <w:b/>
          <w:color w:val="000000" w:themeColor="text1"/>
          <w:szCs w:val="21"/>
          <w14:textFill>
            <w14:solidFill>
              <w14:schemeClr w14:val="tx1"/>
            </w14:solidFill>
          </w14:textFill>
        </w:rPr>
        <w:t>提供虚假材料骗取借款的</w:t>
      </w:r>
      <w:r>
        <w:rPr>
          <w:rFonts w:hint="eastAsia" w:asciiTheme="minorEastAsia" w:hAnsiTheme="minorEastAsia" w:eastAsiaTheme="minorEastAsia"/>
          <w:b/>
          <w:color w:val="000000" w:themeColor="text1"/>
          <w:szCs w:val="21"/>
          <w14:textFill>
            <w14:solidFill>
              <w14:schemeClr w14:val="tx1"/>
            </w14:solidFill>
          </w14:textFill>
        </w:rPr>
        <w:t>；</w:t>
      </w:r>
    </w:p>
    <w:p>
      <w:pPr>
        <w:pStyle w:val="19"/>
        <w:spacing w:line="360" w:lineRule="auto"/>
        <w:ind w:left="0" w:leftChars="0" w:firstLine="413" w:firstLineChars="196"/>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（十九）其他存在非国家法律认可的借贷行为及借贷关系，导致提供借款的出借人本金及利息损失，</w:t>
      </w:r>
      <w:r>
        <w:rPr>
          <w:rFonts w:asciiTheme="minorEastAsia" w:hAnsiTheme="minorEastAsia" w:eastAsiaTheme="minorEastAsia"/>
          <w:b/>
          <w:color w:val="000000" w:themeColor="text1"/>
          <w:szCs w:val="21"/>
          <w14:textFill>
            <w14:solidFill>
              <w14:schemeClr w14:val="tx1"/>
            </w14:solidFill>
          </w14:textFill>
        </w:rPr>
        <w:t>保险人</w:t>
      </w:r>
      <w:r>
        <w:rPr>
          <w:rFonts w:hint="eastAsia" w:asciiTheme="minorEastAsia" w:hAnsiTheme="minorEastAsia" w:eastAsiaTheme="minorEastAsia"/>
          <w:b/>
          <w:color w:val="000000" w:themeColor="text1"/>
          <w:szCs w:val="21"/>
          <w14:textFill>
            <w14:solidFill>
              <w14:schemeClr w14:val="tx1"/>
            </w14:solidFill>
          </w14:textFill>
        </w:rPr>
        <w:t>也</w:t>
      </w:r>
      <w:r>
        <w:rPr>
          <w:rFonts w:asciiTheme="minorEastAsia" w:hAnsiTheme="minorEastAsia" w:eastAsiaTheme="minorEastAsia"/>
          <w:b/>
          <w:color w:val="000000" w:themeColor="text1"/>
          <w:szCs w:val="21"/>
          <w14:textFill>
            <w14:solidFill>
              <w14:schemeClr w14:val="tx1"/>
            </w14:solidFill>
          </w14:textFill>
        </w:rPr>
        <w:t>不承担</w:t>
      </w:r>
      <w:r>
        <w:rPr>
          <w:rFonts w:hint="eastAsia" w:asciiTheme="minorEastAsia" w:hAnsiTheme="minorEastAsia" w:eastAsiaTheme="minorEastAsia"/>
          <w:b/>
          <w:color w:val="000000" w:themeColor="text1"/>
          <w:szCs w:val="21"/>
          <w14:textFill>
            <w14:solidFill>
              <w14:schemeClr w14:val="tx1"/>
            </w14:solidFill>
          </w14:textFill>
        </w:rPr>
        <w:t>赔偿</w:t>
      </w:r>
      <w:r>
        <w:rPr>
          <w:rFonts w:asciiTheme="minorEastAsia" w:hAnsiTheme="minorEastAsia" w:eastAsiaTheme="minorEastAsia"/>
          <w:b/>
          <w:color w:val="000000" w:themeColor="text1"/>
          <w:szCs w:val="21"/>
          <w14:textFill>
            <w14:solidFill>
              <w14:schemeClr w14:val="tx1"/>
            </w14:solidFill>
          </w14:textFill>
        </w:rPr>
        <w:t>责任</w:t>
      </w:r>
      <w:r>
        <w:rPr>
          <w:rFonts w:hint="eastAsia" w:asciiTheme="minorEastAsia" w:hAnsiTheme="minorEastAsia" w:eastAsiaTheme="minorEastAsia"/>
          <w:b/>
          <w:color w:val="000000" w:themeColor="text1"/>
          <w:szCs w:val="21"/>
          <w14:textFill>
            <w14:solidFill>
              <w14:schemeClr w14:val="tx1"/>
            </w14:solidFill>
          </w14:textFill>
        </w:rPr>
        <w:t>。</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第七条 被保险人在下列期间遭受伤害导致身故、伤残的，保险人也不承担给付保险金责任：</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（一）战争、军事行动、暴动或武装叛乱期间；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（二）被保险人醉酒或毒品、管制药物的影响期间；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（三）被保险人酒后驾车、无有效驾驶证驾驶或驾驶无有效行驶证的机动车期间；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（四）被保险人存在精神和行为障碍（以世界卫生组织颁布的《疾病和有关健康问题的国际统计分类（ICD-10）》为准）期间；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（五）被保险人置身于任何飞机或热气球、滑翔器等航空装置（以乘客身份搭乘民用或商业航班者不在此限）期间；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（六）被保险人作为军人(含特种兵)、警务人员(含防暴警察)在训练或执行公务期间；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（七）被保险人从事犯罪活动期间或被依法采取刑事强制措施或服刑期间；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（八）被保险人从事或参与恐怖主义活动、邪教组织活动期间；</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（九）被保险人患艾滋病（AIDS）或感染艾滋病毒（HIV呈阳性）期间；</w:t>
      </w:r>
    </w:p>
    <w:p>
      <w:pPr>
        <w:pStyle w:val="19"/>
        <w:spacing w:line="360" w:lineRule="auto"/>
        <w:ind w:left="0" w:leftChars="0" w:firstLine="413" w:firstLineChars="196"/>
        <w:rPr>
          <w:rFonts w:hint="eastAsia"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（十）被保险人从事本合同内列明高危工种和职业所对应的工作或活动期间</w:t>
      </w:r>
      <w:r>
        <w:rPr>
          <w:rFonts w:hint="eastAsia" w:asciiTheme="minorEastAsia" w:hAnsiTheme="minorEastAsia" w:eastAsiaTheme="minorEastAsia"/>
          <w:b/>
          <w:color w:val="000000" w:themeColor="text1"/>
          <w:szCs w:val="21"/>
          <w:lang w:eastAsia="zh-CN"/>
          <w14:textFill>
            <w14:solidFill>
              <w14:schemeClr w14:val="tx1"/>
            </w14:solidFill>
          </w14:textFill>
        </w:rPr>
        <w:t>。</w:t>
      </w:r>
    </w:p>
    <w:p>
      <w:pPr>
        <w:pStyle w:val="19"/>
        <w:spacing w:line="360" w:lineRule="auto"/>
        <w:ind w:left="0" w:leftChars="0" w:firstLine="413" w:firstLineChars="196"/>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上述情形下或期间内，被保险人身故或伤残的，保险人不承担</w:t>
      </w:r>
      <w:r>
        <w:rPr>
          <w:rFonts w:asciiTheme="minorEastAsia" w:hAnsiTheme="minorEastAsia" w:eastAsiaTheme="minorEastAsia"/>
          <w:b/>
          <w:color w:val="000000" w:themeColor="text1"/>
          <w:szCs w:val="21"/>
          <w14:textFill>
            <w14:solidFill>
              <w14:schemeClr w14:val="tx1"/>
            </w14:solidFill>
          </w14:textFill>
        </w:rPr>
        <w:t>赔偿责任，同时，保险人</w:t>
      </w:r>
      <w:r>
        <w:rPr>
          <w:rFonts w:hint="eastAsia" w:asciiTheme="minorEastAsia" w:hAnsiTheme="minorEastAsia" w:eastAsiaTheme="minorEastAsia"/>
          <w:b/>
          <w:color w:val="000000" w:themeColor="text1"/>
          <w:szCs w:val="21"/>
          <w14:textFill>
            <w14:solidFill>
              <w14:schemeClr w14:val="tx1"/>
            </w14:solidFill>
          </w14:textFill>
        </w:rPr>
        <w:t>对被保险人保险责任终止，并退还被保险人的未满期净保费。</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第八条 根据相关法律</w:t>
      </w:r>
      <w:r>
        <w:rPr>
          <w:rFonts w:asciiTheme="minorEastAsia" w:hAnsiTheme="minorEastAsia" w:eastAsiaTheme="minorEastAsia"/>
          <w:b/>
          <w:color w:val="000000" w:themeColor="text1"/>
          <w:szCs w:val="21"/>
          <w14:textFill>
            <w14:solidFill>
              <w14:schemeClr w14:val="tx1"/>
            </w14:solidFill>
          </w14:textFill>
        </w:rPr>
        <w:t>法规或者借款合同</w:t>
      </w:r>
      <w:r>
        <w:rPr>
          <w:rFonts w:hint="eastAsia" w:asciiTheme="minorEastAsia" w:hAnsiTheme="minorEastAsia" w:eastAsiaTheme="minorEastAsia"/>
          <w:b/>
          <w:color w:val="000000" w:themeColor="text1"/>
          <w:szCs w:val="21"/>
          <w14:textFill>
            <w14:solidFill>
              <w14:schemeClr w14:val="tx1"/>
            </w14:solidFill>
          </w14:textFill>
        </w:rPr>
        <w:t>/协议</w:t>
      </w: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被保险</w:t>
      </w:r>
      <w:r>
        <w:rPr>
          <w:rFonts w:asciiTheme="minorEastAsia" w:hAnsiTheme="minorEastAsia" w:eastAsiaTheme="minorEastAsia"/>
          <w:b/>
          <w:color w:val="000000" w:themeColor="text1"/>
          <w:szCs w:val="21"/>
          <w14:textFill>
            <w14:solidFill>
              <w14:schemeClr w14:val="tx1"/>
            </w14:solidFill>
          </w14:textFill>
        </w:rPr>
        <w:t>人的违约行为导致</w:t>
      </w:r>
      <w:r>
        <w:rPr>
          <w:rFonts w:hint="eastAsia" w:asciiTheme="minorEastAsia" w:hAnsiTheme="minorEastAsia" w:eastAsiaTheme="minorEastAsia"/>
          <w:b/>
          <w:color w:val="000000" w:themeColor="text1"/>
          <w:szCs w:val="21"/>
          <w14:textFill>
            <w14:solidFill>
              <w14:schemeClr w14:val="tx1"/>
            </w14:solidFill>
          </w14:textFill>
        </w:rPr>
        <w:t>提供</w:t>
      </w:r>
      <w:r>
        <w:rPr>
          <w:rFonts w:asciiTheme="minorEastAsia" w:hAnsiTheme="minorEastAsia" w:eastAsiaTheme="minorEastAsia"/>
          <w:b/>
          <w:color w:val="000000" w:themeColor="text1"/>
          <w:szCs w:val="21"/>
          <w14:textFill>
            <w14:solidFill>
              <w14:schemeClr w14:val="tx1"/>
            </w14:solidFill>
          </w14:textFill>
        </w:rPr>
        <w:t>借款的出借人的本金及利息损失，保险人不承担赔偿责任</w:t>
      </w:r>
      <w:r>
        <w:rPr>
          <w:rFonts w:hint="eastAsia" w:asciiTheme="minorEastAsia" w:hAnsiTheme="minorEastAsia" w:eastAsiaTheme="minorEastAsia"/>
          <w:b/>
          <w:color w:val="000000" w:themeColor="text1"/>
          <w:szCs w:val="21"/>
          <w14:textFill>
            <w14:solidFill>
              <w14:schemeClr w14:val="tx1"/>
            </w14:solidFill>
          </w14:textFill>
        </w:rPr>
        <w:t>。</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第九条 非遭受本</w:t>
      </w:r>
      <w:r>
        <w:rPr>
          <w:rFonts w:asciiTheme="minorEastAsia" w:hAnsiTheme="minorEastAsia" w:eastAsiaTheme="minorEastAsia"/>
          <w:b/>
          <w:color w:val="000000" w:themeColor="text1"/>
          <w:szCs w:val="21"/>
          <w14:textFill>
            <w14:solidFill>
              <w14:schemeClr w14:val="tx1"/>
            </w14:solidFill>
          </w14:textFill>
        </w:rPr>
        <w:t>保险合同约定的</w:t>
      </w:r>
      <w:r>
        <w:rPr>
          <w:rFonts w:hint="eastAsia" w:asciiTheme="minorEastAsia" w:hAnsiTheme="minorEastAsia" w:eastAsiaTheme="minorEastAsia"/>
          <w:b/>
          <w:color w:val="000000" w:themeColor="text1"/>
          <w:szCs w:val="21"/>
          <w14:textFill>
            <w14:solidFill>
              <w14:schemeClr w14:val="tx1"/>
            </w14:solidFill>
          </w14:textFill>
        </w:rPr>
        <w:t>意外</w:t>
      </w:r>
      <w:r>
        <w:rPr>
          <w:rFonts w:asciiTheme="minorEastAsia" w:hAnsiTheme="minorEastAsia" w:eastAsiaTheme="minorEastAsia"/>
          <w:b/>
          <w:color w:val="000000" w:themeColor="text1"/>
          <w:szCs w:val="21"/>
          <w14:textFill>
            <w14:solidFill>
              <w14:schemeClr w14:val="tx1"/>
            </w14:solidFill>
          </w14:textFill>
        </w:rPr>
        <w:t>事故</w:t>
      </w:r>
      <w:r>
        <w:rPr>
          <w:rFonts w:hint="eastAsia" w:asciiTheme="minorEastAsia" w:hAnsiTheme="minorEastAsia" w:eastAsiaTheme="minorEastAsia"/>
          <w:b/>
          <w:color w:val="000000" w:themeColor="text1"/>
          <w:szCs w:val="21"/>
          <w14:textFill>
            <w14:solidFill>
              <w14:schemeClr w14:val="tx1"/>
            </w14:solidFill>
          </w14:textFill>
        </w:rPr>
        <w:t>致使被保险人</w:t>
      </w:r>
      <w:r>
        <w:rPr>
          <w:rFonts w:asciiTheme="minorEastAsia" w:hAnsiTheme="minorEastAsia" w:eastAsiaTheme="minorEastAsia"/>
          <w:b/>
          <w:color w:val="000000" w:themeColor="text1"/>
          <w:szCs w:val="21"/>
          <w14:textFill>
            <w14:solidFill>
              <w14:schemeClr w14:val="tx1"/>
            </w14:solidFill>
          </w14:textFill>
        </w:rPr>
        <w:t>死亡或者伤残</w:t>
      </w:r>
      <w:r>
        <w:rPr>
          <w:rFonts w:hint="eastAsia" w:asciiTheme="minorEastAsia" w:hAnsiTheme="minorEastAsia" w:eastAsiaTheme="minorEastAsia"/>
          <w:b/>
          <w:color w:val="000000" w:themeColor="text1"/>
          <w:szCs w:val="21"/>
          <w14:textFill>
            <w14:solidFill>
              <w14:schemeClr w14:val="tx1"/>
            </w14:solidFill>
          </w14:textFill>
        </w:rPr>
        <w:t>，导致提供借款的出借人本金及利息损失，</w:t>
      </w:r>
      <w:r>
        <w:rPr>
          <w:rFonts w:asciiTheme="minorEastAsia" w:hAnsiTheme="minorEastAsia" w:eastAsiaTheme="minorEastAsia"/>
          <w:b/>
          <w:color w:val="000000" w:themeColor="text1"/>
          <w:szCs w:val="21"/>
          <w14:textFill>
            <w14:solidFill>
              <w14:schemeClr w14:val="tx1"/>
            </w14:solidFill>
          </w14:textFill>
        </w:rPr>
        <w:t>保险人不承担</w:t>
      </w:r>
      <w:r>
        <w:rPr>
          <w:rFonts w:hint="eastAsia" w:asciiTheme="minorEastAsia" w:hAnsiTheme="minorEastAsia" w:eastAsiaTheme="minorEastAsia"/>
          <w:b/>
          <w:color w:val="000000" w:themeColor="text1"/>
          <w:szCs w:val="21"/>
          <w14:textFill>
            <w14:solidFill>
              <w14:schemeClr w14:val="tx1"/>
            </w14:solidFill>
          </w14:textFill>
        </w:rPr>
        <w:t>赔偿</w:t>
      </w:r>
      <w:r>
        <w:rPr>
          <w:rFonts w:asciiTheme="minorEastAsia" w:hAnsiTheme="minorEastAsia" w:eastAsiaTheme="minorEastAsia"/>
          <w:b/>
          <w:color w:val="000000" w:themeColor="text1"/>
          <w:szCs w:val="21"/>
          <w14:textFill>
            <w14:solidFill>
              <w14:schemeClr w14:val="tx1"/>
            </w14:solidFill>
          </w14:textFill>
        </w:rPr>
        <w:t>责任</w:t>
      </w:r>
      <w:r>
        <w:rPr>
          <w:rFonts w:hint="eastAsia" w:asciiTheme="minorEastAsia" w:hAnsiTheme="minorEastAsia" w:eastAsiaTheme="minorEastAsia"/>
          <w:b/>
          <w:color w:val="000000" w:themeColor="text1"/>
          <w:szCs w:val="21"/>
          <w14:textFill>
            <w14:solidFill>
              <w14:schemeClr w14:val="tx1"/>
            </w14:solidFill>
          </w14:textFill>
        </w:rPr>
        <w:t>。</w:t>
      </w:r>
    </w:p>
    <w:p>
      <w:pPr>
        <w:pStyle w:val="19"/>
        <w:spacing w:line="360" w:lineRule="auto"/>
        <w:ind w:left="0" w:leftChars="0" w:firstLine="422"/>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第十条 被保险人向未依法取得经营资质或非法经营的银行、合法借贷平台或其他合法金融机构借款，导致提供借款的出借人本金及利息损失，</w:t>
      </w:r>
      <w:r>
        <w:rPr>
          <w:rFonts w:asciiTheme="minorEastAsia" w:hAnsiTheme="minorEastAsia" w:eastAsiaTheme="minorEastAsia"/>
          <w:b/>
          <w:color w:val="000000" w:themeColor="text1"/>
          <w:szCs w:val="21"/>
          <w14:textFill>
            <w14:solidFill>
              <w14:schemeClr w14:val="tx1"/>
            </w14:solidFill>
          </w14:textFill>
        </w:rPr>
        <w:t>保险人不承担</w:t>
      </w:r>
      <w:r>
        <w:rPr>
          <w:rFonts w:hint="eastAsia" w:asciiTheme="minorEastAsia" w:hAnsiTheme="minorEastAsia" w:eastAsiaTheme="minorEastAsia"/>
          <w:b/>
          <w:color w:val="000000" w:themeColor="text1"/>
          <w:szCs w:val="21"/>
          <w14:textFill>
            <w14:solidFill>
              <w14:schemeClr w14:val="tx1"/>
            </w14:solidFill>
          </w14:textFill>
        </w:rPr>
        <w:t>赔偿</w:t>
      </w:r>
      <w:r>
        <w:rPr>
          <w:rFonts w:asciiTheme="minorEastAsia" w:hAnsiTheme="minorEastAsia" w:eastAsiaTheme="minorEastAsia"/>
          <w:b/>
          <w:color w:val="000000" w:themeColor="text1"/>
          <w:szCs w:val="21"/>
          <w14:textFill>
            <w14:solidFill>
              <w14:schemeClr w14:val="tx1"/>
            </w14:solidFill>
          </w14:textFill>
        </w:rPr>
        <w:t>责任</w:t>
      </w:r>
      <w:r>
        <w:rPr>
          <w:rFonts w:hint="eastAsia" w:asciiTheme="minorEastAsia" w:hAnsiTheme="minorEastAsia" w:eastAsiaTheme="minorEastAsia"/>
          <w:b/>
          <w:color w:val="000000" w:themeColor="text1"/>
          <w:szCs w:val="21"/>
          <w14:textFill>
            <w14:solidFill>
              <w14:schemeClr w14:val="tx1"/>
            </w14:solidFill>
          </w14:textFill>
        </w:rPr>
        <w:t>。</w:t>
      </w:r>
    </w:p>
    <w:p>
      <w:pPr>
        <w:pStyle w:val="2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保险金额和保险费</w:t>
      </w:r>
    </w:p>
    <w:p>
      <w:pPr>
        <w:pStyle w:val="20"/>
        <w:spacing w:line="360" w:lineRule="auto"/>
        <w:ind w:firstLine="422"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第十一条 </w:t>
      </w:r>
      <w:r>
        <w:rPr>
          <w:rFonts w:hint="eastAsia" w:asciiTheme="minorEastAsia" w:hAnsiTheme="minorEastAsia" w:eastAsiaTheme="minorEastAsia"/>
          <w:b w:val="0"/>
          <w:color w:val="000000" w:themeColor="text1"/>
          <w:szCs w:val="21"/>
          <w14:textFill>
            <w14:solidFill>
              <w14:schemeClr w14:val="tx1"/>
            </w14:solidFill>
          </w14:textFill>
        </w:rPr>
        <w:t>保险金额是保险人承担给付保险金责任的最高限额。本保险合同的保险金额是</w:t>
      </w:r>
      <w:r>
        <w:rPr>
          <w:rFonts w:hint="eastAsia" w:asciiTheme="minorEastAsia" w:hAnsiTheme="minorEastAsia" w:eastAsiaTheme="minorEastAsia"/>
          <w:color w:val="000000" w:themeColor="text1"/>
          <w:szCs w:val="21"/>
          <w14:textFill>
            <w14:solidFill>
              <w14:schemeClr w14:val="tx1"/>
            </w14:solidFill>
          </w14:textFill>
        </w:rPr>
        <w:t>“意外伤害保险金额”，</w:t>
      </w:r>
      <w:r>
        <w:rPr>
          <w:rFonts w:hint="eastAsia" w:asciiTheme="minorEastAsia" w:hAnsiTheme="minorEastAsia" w:eastAsiaTheme="minorEastAsia"/>
          <w:b w:val="0"/>
          <w:color w:val="000000" w:themeColor="text1"/>
          <w:szCs w:val="21"/>
          <w14:textFill>
            <w14:solidFill>
              <w14:schemeClr w14:val="tx1"/>
            </w14:solidFill>
          </w14:textFill>
        </w:rPr>
        <w:t>由投保人、保险人双方约定，借款人配偶</w:t>
      </w:r>
      <w:r>
        <w:rPr>
          <w:rFonts w:hint="eastAsia" w:asciiTheme="minorEastAsia" w:hAnsiTheme="minorEastAsia" w:eastAsiaTheme="minorEastAsia"/>
          <w:b w:val="0"/>
          <w:color w:val="000000" w:themeColor="text1"/>
          <w:szCs w:val="21"/>
          <w:lang w:eastAsia="zh-CN"/>
          <w14:textFill>
            <w14:solidFill>
              <w14:schemeClr w14:val="tx1"/>
            </w14:solidFill>
          </w14:textFill>
        </w:rPr>
        <w:t>的保险金额</w:t>
      </w:r>
      <w:r>
        <w:rPr>
          <w:rFonts w:hint="eastAsia" w:asciiTheme="minorEastAsia" w:hAnsiTheme="minorEastAsia" w:eastAsiaTheme="minorEastAsia"/>
          <w:b w:val="0"/>
          <w:color w:val="000000" w:themeColor="text1"/>
          <w:szCs w:val="21"/>
          <w14:textFill>
            <w14:solidFill>
              <w14:schemeClr w14:val="tx1"/>
            </w14:solidFill>
          </w14:textFill>
        </w:rPr>
        <w:t>不高于借款人本人保额，相关保额须在保险单中载明。</w:t>
      </w:r>
    </w:p>
    <w:p>
      <w:pPr>
        <w:pStyle w:val="20"/>
        <w:spacing w:line="360" w:lineRule="auto"/>
        <w:ind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投保人应该按照保险合同约定向保险人交纳保险费。</w:t>
      </w:r>
    </w:p>
    <w:p>
      <w:pPr>
        <w:pStyle w:val="19"/>
        <w:spacing w:line="360" w:lineRule="auto"/>
        <w:ind w:left="0" w:leftChars="0" w:firstLine="0" w:firstLineChars="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保险期间</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第十二条 </w:t>
      </w:r>
      <w:r>
        <w:rPr>
          <w:rFonts w:hint="eastAsia" w:asciiTheme="minorEastAsia" w:hAnsiTheme="minorEastAsia" w:eastAsiaTheme="minorEastAsia"/>
          <w:color w:val="000000" w:themeColor="text1"/>
          <w:szCs w:val="21"/>
          <w14:textFill>
            <w14:solidFill>
              <w14:schemeClr w14:val="tx1"/>
            </w14:solidFill>
          </w14:textFill>
        </w:rPr>
        <w:t>本保险合同保险期间由保险人和投保人协商确定，以保险单载明的起讫时间为准。</w:t>
      </w:r>
    </w:p>
    <w:p>
      <w:pPr>
        <w:pStyle w:val="20"/>
        <w:tabs>
          <w:tab w:val="clear" w:pos="840"/>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保险人义务</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第十三条 </w:t>
      </w:r>
      <w:r>
        <w:rPr>
          <w:rFonts w:hint="eastAsia" w:asciiTheme="minorEastAsia" w:hAnsiTheme="minorEastAsia" w:eastAsiaTheme="minorEastAsia"/>
          <w:color w:val="000000" w:themeColor="text1"/>
          <w:szCs w:val="21"/>
          <w14:textFill>
            <w14:solidFill>
              <w14:schemeClr w14:val="tx1"/>
            </w14:solidFill>
          </w14:textFill>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第十四条 </w:t>
      </w:r>
      <w:r>
        <w:rPr>
          <w:rFonts w:hint="eastAsia" w:asciiTheme="minorEastAsia" w:hAnsiTheme="minorEastAsia" w:eastAsiaTheme="minorEastAsia"/>
          <w:color w:val="000000" w:themeColor="text1"/>
          <w:szCs w:val="21"/>
          <w14:textFill>
            <w14:solidFill>
              <w14:schemeClr w14:val="tx1"/>
            </w14:solidFill>
          </w14:textFill>
        </w:rPr>
        <w:t>本保险合同成立后，保险人应当及时向投保人签发保险单或其他保险凭证。</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第十五条 </w:t>
      </w:r>
      <w:r>
        <w:rPr>
          <w:rFonts w:hint="eastAsia" w:asciiTheme="minorEastAsia" w:hAnsiTheme="minorEastAsia" w:eastAsiaTheme="minorEastAsia"/>
          <w:color w:val="000000" w:themeColor="text1"/>
          <w:szCs w:val="21"/>
          <w14:textFill>
            <w14:solidFill>
              <w14:schemeClr w14:val="tx1"/>
            </w14:solidFill>
          </w14:textFill>
        </w:rPr>
        <w:t>保险人依据第十九条、第二十条所取得的保险合同解除权，自保险人知道有解除事由之日起，超过三十日不行使而消灭。自保险合同成立之日起超过二年的，保险人不得解除合同；发生保险事故的，保险人承担给付保险金责任。</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保险人在合同订立时已经知道投保人未如实告知的情况的，保险人不得解除合同；发生保险事故的，保险人应当承担给付保险金责任。</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第十六条 </w:t>
      </w:r>
      <w:r>
        <w:rPr>
          <w:rFonts w:hint="eastAsia" w:asciiTheme="minorEastAsia" w:hAnsiTheme="minorEastAsia" w:eastAsiaTheme="minorEastAsia"/>
          <w:color w:val="000000" w:themeColor="text1"/>
          <w:szCs w:val="21"/>
          <w14:textFill>
            <w14:solidFill>
              <w14:schemeClr w14:val="tx1"/>
            </w14:solidFill>
          </w14:textFill>
        </w:rPr>
        <w:t>保险人按照第二十四条的约定，认为投保人、被保险人或者受益人提供的有关索赔的证明和资料不完整的，应当及时一次性通知投保人、被保险人或者受益人补充提供。</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第十七条 </w:t>
      </w:r>
      <w:r>
        <w:rPr>
          <w:rFonts w:hint="eastAsia" w:asciiTheme="minorEastAsia" w:hAnsiTheme="minorEastAsia" w:eastAsiaTheme="minorEastAsia"/>
          <w:color w:val="000000" w:themeColor="text1"/>
          <w:szCs w:val="21"/>
          <w14:textFill>
            <w14:solidFill>
              <w14:schemeClr w14:val="tx1"/>
            </w14:solidFill>
          </w14:textFill>
        </w:rPr>
        <w:t>保险人收到被保险人或者受益人的赔偿保险金的请求后，应当及时作出是否属于保险责任的核定；情形复杂的，应当在三十日内作出核定。但保险责任的核定必须依赖于特定证明、鉴定、判决、裁定或其他证据材料的，保险人应在被保险人或者受益人提供或自行取得上述证据材料起三十日内做出核定。本保险合同另有约定的除外。</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人应当将核定结果通知被保险人或者受益人；对属于保险责任的，在与被保险人或者受益人达成给付保险金的协议后十日内，履行赔偿保险金义务。保险合同对给付保险金的期限有约定的，保险人应当按照约定履行给付保险金的义务。保险人依照前款约定作出核定后，对不属于保险责任的，应当自作出核定之日起三日内向被保险人或者受益人发出拒绝给付保险金通知书，并说明理由。</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第十八条 </w:t>
      </w:r>
      <w:r>
        <w:rPr>
          <w:rFonts w:hint="eastAsia" w:asciiTheme="minorEastAsia" w:hAnsiTheme="minorEastAsia" w:eastAsiaTheme="minorEastAsia"/>
          <w:color w:val="000000" w:themeColor="text1"/>
          <w:szCs w:val="21"/>
          <w14:textFill>
            <w14:solidFill>
              <w14:schemeClr w14:val="tx1"/>
            </w14:solidFill>
          </w14:textFill>
        </w:rPr>
        <w:t>保险人自收到给付保险金的请求和有关证明、资料之日起六十日内，对其给付的数额不能确定的，应当根据已有证明和资料可以确定的数额先予支付；保险人最终确定给付的数额后，应当支付相应的差额。</w:t>
      </w:r>
      <w:r>
        <w:rPr>
          <w:rFonts w:asciiTheme="minorEastAsia" w:hAnsiTheme="minorEastAsia" w:eastAsiaTheme="minorEastAsia"/>
          <w:color w:val="000000" w:themeColor="text1"/>
          <w:szCs w:val="21"/>
          <w14:textFill>
            <w14:solidFill>
              <w14:schemeClr w14:val="tx1"/>
            </w14:solidFill>
          </w14:textFill>
        </w:rPr>
        <w:t> </w:t>
      </w:r>
    </w:p>
    <w:p>
      <w:pPr>
        <w:adjustRightInd w:val="0"/>
        <w:snapToGrid w:val="0"/>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投保人、被保险人义务</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第十九条 </w:t>
      </w:r>
      <w:r>
        <w:rPr>
          <w:rFonts w:hint="eastAsia" w:asciiTheme="minorEastAsia" w:hAnsiTheme="minorEastAsia" w:eastAsiaTheme="minorEastAsia"/>
          <w:color w:val="000000" w:themeColor="text1"/>
          <w:szCs w:val="21"/>
          <w14:textFill>
            <w14:solidFill>
              <w14:schemeClr w14:val="tx1"/>
            </w14:solidFill>
          </w14:textFill>
        </w:rPr>
        <w:t>除另有约定外，投保人应当在保险合同成立时交清保险费。</w:t>
      </w:r>
      <w:r>
        <w:rPr>
          <w:rFonts w:hint="eastAsia" w:asciiTheme="minorEastAsia" w:hAnsiTheme="minorEastAsia" w:eastAsiaTheme="minorEastAsia"/>
          <w:b/>
          <w:color w:val="000000" w:themeColor="text1"/>
          <w:szCs w:val="21"/>
          <w14:textFill>
            <w14:solidFill>
              <w14:schemeClr w14:val="tx1"/>
            </w14:solidFill>
          </w14:textFill>
        </w:rPr>
        <w:t>保险费未按约定及时足额交付前发生的保险事故，保险人不承担赔偿责任。</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订立保险合同，保险人就被保险人的有关情况提出询问的，投保人应当如实告知。</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投保人故意或者因重大过失未履行前款规定的义务，足以影响保险人决定是否同意承保或者提高保险费率的，保险人有权解除本保险合同。</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投保人故意不履行如实告知义务的，保险人对于合同解除前发生的保险事故，不承担给付保险金责任，并不退还保险费。</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投保人因重大过失未履行如实告知义务，对保险事故的发生有严重影响的，保险人对于合同解除前发生的保险事故，不承担给付保险金责任，但应当退还保险费。</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第二十条 </w:t>
      </w:r>
      <w:r>
        <w:rPr>
          <w:rFonts w:hint="eastAsia" w:asciiTheme="minorEastAsia" w:hAnsiTheme="minorEastAsia" w:eastAsiaTheme="minorEastAsia"/>
          <w:color w:val="000000" w:themeColor="text1"/>
          <w:szCs w:val="21"/>
          <w14:textFill>
            <w14:solidFill>
              <w14:schemeClr w14:val="tx1"/>
            </w14:solidFill>
          </w14:textFill>
        </w:rPr>
        <w:t>投保人申请投保时，应按被保险人的周岁年龄填写。</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投保人申报的被保险人年龄不真实，并且其真实年龄不符合本保险合同约定的年龄限制的，保险人有权解除保险合同，保险人应当在扣除手续费后，向投保人退还保险费。</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第二十一条 </w:t>
      </w:r>
      <w:r>
        <w:rPr>
          <w:rFonts w:hint="eastAsia" w:asciiTheme="minorEastAsia" w:hAnsiTheme="minorEastAsia" w:eastAsiaTheme="minorEastAsia"/>
          <w:color w:val="000000" w:themeColor="text1"/>
          <w:szCs w:val="21"/>
          <w14:textFill>
            <w14:solidFill>
              <w14:schemeClr w14:val="tx1"/>
            </w14:solidFill>
          </w14:textFill>
        </w:rPr>
        <w:t>被保险人变更职业或工种时，投保人或被保险人应在10日内以书面形式通知保险人。</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被保险人所变更的职业或工种依照保险人职业分类在拒保范围内的，保险人在接到通知后有权解除本保险合同，并按照接到通知之日退还原职业或工种所对应的未满期净保费。</w:t>
      </w:r>
      <w:r>
        <w:rPr>
          <w:rFonts w:hint="eastAsia" w:asciiTheme="minorEastAsia" w:hAnsiTheme="minorEastAsia" w:eastAsiaTheme="minorEastAsia"/>
          <w:color w:val="000000" w:themeColor="text1"/>
          <w:szCs w:val="21"/>
          <w14:textFill>
            <w14:solidFill>
              <w14:schemeClr w14:val="tx1"/>
            </w14:solidFill>
          </w14:textFill>
        </w:rPr>
        <w:t>被保险人所变更的职业或工种依照保险人职业分类危险程度增加但仍可承保或在拒保范围内但保险人认定可以继续承保的，保险人自接到通知后，自职业变更之日起，增收变更前后职业或工种对应的未满期保险费差额；被保险人所变更的职业或工种依照保险人职业分类危险程度降低的，保险人自接到通知后，自职业变更之日起，退还变更前后职业或工种对应的未满期保费差额。</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被保险人所变更的职业或工种，依照保险人职业分类其危险性增加，且未依本条约定通知保险人而发生保险事故的，保险人按其原交保险费比新职业或工种所对应的保险费的比例计算并给付保险金。</w:t>
      </w:r>
      <w:r>
        <w:rPr>
          <w:rFonts w:hint="eastAsia" w:asciiTheme="minorEastAsia" w:hAnsiTheme="minorEastAsia" w:eastAsiaTheme="minorEastAsia"/>
          <w:b/>
          <w:color w:val="000000" w:themeColor="text1"/>
          <w:szCs w:val="21"/>
          <w14:textFill>
            <w14:solidFill>
              <w14:schemeClr w14:val="tx1"/>
            </w14:solidFill>
          </w14:textFill>
        </w:rPr>
        <w:t>被保险人所变更的职业或工种依照保险人职业分类在拒保范围内，保险人不承担给付保险金的责任。</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第二十二条 </w:t>
      </w:r>
      <w:r>
        <w:rPr>
          <w:rFonts w:hint="eastAsia" w:asciiTheme="minorEastAsia" w:hAnsiTheme="minorEastAsia" w:eastAsiaTheme="minorEastAsia"/>
          <w:color w:val="000000" w:themeColor="text1"/>
          <w:szCs w:val="21"/>
          <w14:textFill>
            <w14:solidFill>
              <w14:schemeClr w14:val="tx1"/>
            </w14:solidFill>
          </w14:textFill>
        </w:rPr>
        <w:t>投保人住所或通讯地址变更时，应及时以书面形式通知保险人。投保人未通知的，保险人按本保险合同所载的最后住所或通讯地址发送的有关通知，均视为已发送给投保人。</w:t>
      </w:r>
    </w:p>
    <w:p>
      <w:pPr>
        <w:adjustRightInd w:val="0"/>
        <w:snapToGrid w:val="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 xml:space="preserve">第二十三条 </w:t>
      </w:r>
      <w:r>
        <w:rPr>
          <w:rFonts w:hint="eastAsia" w:asciiTheme="minorEastAsia" w:hAnsiTheme="minorEastAsia" w:eastAsiaTheme="minorEastAsia"/>
          <w:color w:val="000000" w:themeColor="text1"/>
          <w:szCs w:val="21"/>
          <w14:textFill>
            <w14:solidFill>
              <w14:schemeClr w14:val="tx1"/>
            </w14:solidFill>
          </w14:textFill>
        </w:rPr>
        <w:t>投保人、被保险人或者保险金受益人知道保险事故发生后，应当在48小时内或经保险人书面同意延长的期限内通知保险人。</w:t>
      </w:r>
      <w:r>
        <w:rPr>
          <w:rFonts w:hint="eastAsia" w:asciiTheme="minorEastAsia" w:hAnsiTheme="minorEastAsia" w:eastAsiaTheme="minorEastAsia"/>
          <w:b/>
          <w:color w:val="000000" w:themeColor="text1"/>
          <w:szCs w:val="21"/>
          <w14:textFill>
            <w14:solidFill>
              <w14:schemeClr w14:val="tx1"/>
            </w14:solidFill>
          </w14:textFill>
        </w:rPr>
        <w:t>故意或者因重大过失未及时通知，致使保险事故的性质、原因、损失程度等难以确定的，保险人对无法确定的部分，不承担给付保险金责任，</w:t>
      </w:r>
      <w:r>
        <w:rPr>
          <w:rFonts w:hint="eastAsia" w:asciiTheme="minorEastAsia" w:hAnsiTheme="minorEastAsia" w:eastAsiaTheme="minorEastAsia"/>
          <w:color w:val="000000" w:themeColor="text1"/>
          <w:szCs w:val="21"/>
          <w14:textFill>
            <w14:solidFill>
              <w14:schemeClr w14:val="tx1"/>
            </w14:solidFill>
          </w14:textFill>
        </w:rPr>
        <w:t>但保险人通过其他途径已经及时知道或者应当及时知道保险事故发生的除外。</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上述约定，不包括因不可抗力而导致的迟延。</w:t>
      </w:r>
    </w:p>
    <w:p>
      <w:pPr>
        <w:pStyle w:val="2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保险金申请与给付</w:t>
      </w:r>
    </w:p>
    <w:p>
      <w:pPr>
        <w:pStyle w:val="20"/>
        <w:spacing w:line="360" w:lineRule="auto"/>
        <w:ind w:firstLine="422"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第二十四条 </w:t>
      </w:r>
      <w:r>
        <w:rPr>
          <w:rFonts w:hint="eastAsia" w:asciiTheme="minorEastAsia" w:hAnsiTheme="minorEastAsia" w:eastAsiaTheme="minorEastAsia"/>
          <w:b w:val="0"/>
          <w:color w:val="000000" w:themeColor="text1"/>
          <w:szCs w:val="21"/>
          <w14:textFill>
            <w14:solidFill>
              <w14:schemeClr w14:val="tx1"/>
            </w14:solidFill>
          </w14:textFill>
        </w:rPr>
        <w:t>保险金申请人向保险人申请给付保险金时，应提交以下材料。保险金申请人因特殊原因不能提供以下材料的，应提供其他合法有效的材料。</w:t>
      </w:r>
      <w:r>
        <w:rPr>
          <w:rFonts w:hint="eastAsia" w:asciiTheme="minorEastAsia" w:hAnsiTheme="minorEastAsia" w:eastAsiaTheme="minorEastAsia"/>
          <w:color w:val="000000" w:themeColor="text1"/>
          <w:szCs w:val="21"/>
          <w14:textFill>
            <w14:solidFill>
              <w14:schemeClr w14:val="tx1"/>
            </w14:solidFill>
          </w14:textFill>
        </w:rPr>
        <w:t>保险金申请人未能提供有关材料，导致保险人无法核实该申请的真实性的，保险人对无法核实部分不承担给付保险金的责任。</w:t>
      </w:r>
    </w:p>
    <w:p>
      <w:pPr>
        <w:pStyle w:val="20"/>
        <w:tabs>
          <w:tab w:val="clear" w:pos="840"/>
        </w:tabs>
        <w:spacing w:line="360" w:lineRule="auto"/>
        <w:ind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（一）身故保险金申请</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1.保险金申请人填具的索赔申请书；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2.保险单或其他保险凭证；</w:t>
      </w:r>
    </w:p>
    <w:p>
      <w:pPr>
        <w:pStyle w:val="19"/>
        <w:spacing w:line="360" w:lineRule="auto"/>
        <w:ind w:left="0" w:leftChars="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保险金申请人的身份证明，申请人为出借人的还</w:t>
      </w:r>
      <w:r>
        <w:rPr>
          <w:rFonts w:hint="eastAsia" w:asciiTheme="minorEastAsia" w:hAnsiTheme="minorEastAsia" w:eastAsiaTheme="minorEastAsia"/>
          <w:bCs/>
          <w:color w:val="000000" w:themeColor="text1"/>
          <w:szCs w:val="21"/>
          <w14:textFill>
            <w14:solidFill>
              <w14:schemeClr w14:val="tx1"/>
            </w14:solidFill>
          </w14:textFill>
        </w:rPr>
        <w:t>需提供债权证明；</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4.借款合同、被保险人的还款记录或证明；</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公安部门或司法部门、二级以上（含二级）医院或保险人认可的医疗机构出具的被保险人死亡证明书。若被保险人为宣告死亡，保险金申请人应提供人民法院出具的宣告死亡证明文件；若为境外出险，需提供事故发生地使领馆出具的包含死亡原因的书面证明材料；</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6.被保险人的户籍注销证明；</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7.</w:t>
      </w: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8.</w:t>
      </w: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bookmarkStart w:id="67" w:name="_GoBack"/>
      <w:r>
        <w:rPr>
          <w:rFonts w:hint="eastAsia" w:asciiTheme="minorEastAsia" w:hAnsiTheme="minorEastAsia" w:eastAsiaTheme="minorEastAsia"/>
          <w:b/>
          <w:bCs/>
          <w:color w:val="000000" w:themeColor="text1"/>
          <w:szCs w:val="21"/>
          <w14:textFill>
            <w14:solidFill>
              <w14:schemeClr w14:val="tx1"/>
            </w14:solidFill>
          </w14:textFill>
        </w:rPr>
        <w:t>除提交上述材料外，保险金申请人申请身故保险金时，为确定事故原因，保险人有权要求由司法鉴定机构对事故原因进行鉴定，如进行尸体检验等。</w:t>
      </w:r>
      <w:bookmarkEnd w:id="67"/>
    </w:p>
    <w:p>
      <w:pPr>
        <w:pStyle w:val="20"/>
        <w:spacing w:line="360" w:lineRule="auto"/>
        <w:ind w:firstLine="420"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b w:val="0"/>
          <w:color w:val="000000" w:themeColor="text1"/>
          <w:szCs w:val="21"/>
          <w14:textFill>
            <w14:solidFill>
              <w14:schemeClr w14:val="tx1"/>
            </w14:solidFill>
          </w14:textFill>
        </w:rPr>
        <w:t>（二）伤残保险金申请</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1.保险金申请人填具的索赔申请书；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2.保险单或其他保险凭证；</w:t>
      </w:r>
    </w:p>
    <w:p>
      <w:pPr>
        <w:pStyle w:val="19"/>
        <w:spacing w:line="360" w:lineRule="auto"/>
        <w:ind w:left="0" w:leftChars="0"/>
        <w:rPr>
          <w:rFonts w:asciiTheme="minorEastAsia" w:hAnsiTheme="minorEastAsia" w:eastAsiaTheme="minorEastAsia"/>
          <w:bCs/>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3.</w:t>
      </w:r>
      <w:r>
        <w:rPr>
          <w:rFonts w:hint="eastAsia" w:asciiTheme="minorEastAsia" w:hAnsiTheme="minorEastAsia" w:eastAsiaTheme="minorEastAsia"/>
          <w:color w:val="000000" w:themeColor="text1"/>
          <w:szCs w:val="21"/>
          <w14:textFill>
            <w14:solidFill>
              <w14:schemeClr w14:val="tx1"/>
            </w14:solidFill>
          </w14:textFill>
        </w:rPr>
        <w:t>被保险人身份证明，申请人为出借人的</w:t>
      </w:r>
      <w:r>
        <w:rPr>
          <w:rFonts w:hint="eastAsia" w:asciiTheme="minorEastAsia" w:hAnsiTheme="minorEastAsia" w:eastAsiaTheme="minorEastAsia"/>
          <w:bCs/>
          <w:color w:val="000000" w:themeColor="text1"/>
          <w:szCs w:val="21"/>
          <w14:textFill>
            <w14:solidFill>
              <w14:schemeClr w14:val="tx1"/>
            </w14:solidFill>
          </w14:textFill>
        </w:rPr>
        <w:t>需提供债权证明；</w:t>
      </w:r>
      <w:r>
        <w:rPr>
          <w:rFonts w:hint="eastAsia" w:asciiTheme="minorEastAsia" w:hAnsiTheme="minorEastAsia" w:eastAsiaTheme="minorEastAsia"/>
          <w:color w:val="000000" w:themeColor="text1"/>
          <w:szCs w:val="21"/>
          <w14:textFill>
            <w14:solidFill>
              <w14:schemeClr w14:val="tx1"/>
            </w14:solidFill>
          </w14:textFill>
        </w:rPr>
        <w:t>借款合同、被保险人的还款记录或证明；</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4.</w:t>
      </w:r>
      <w:r>
        <w:rPr>
          <w:rFonts w:hint="eastAsia" w:asciiTheme="minorEastAsia" w:hAnsiTheme="minorEastAsia" w:eastAsiaTheme="minorEastAsia"/>
          <w:color w:val="000000" w:themeColor="text1"/>
          <w:szCs w:val="21"/>
          <w14:textFill>
            <w14:solidFill>
              <w14:schemeClr w14:val="tx1"/>
            </w14:solidFill>
          </w14:textFill>
        </w:rPr>
        <w:t>二级以上（含二级）或保险人认可的医疗机构或司法鉴定机构根据《残疾评定标准》出具的伤残鉴定诊断书；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5.</w:t>
      </w:r>
      <w:r>
        <w:rPr>
          <w:rFonts w:hint="eastAsia" w:asciiTheme="minorEastAsia" w:hAnsiTheme="minorEastAsia" w:eastAsiaTheme="minorEastAsia"/>
          <w:color w:val="000000" w:themeColor="text1"/>
          <w:szCs w:val="21"/>
          <w14:textFill>
            <w14:solidFill>
              <w14:schemeClr w14:val="tx1"/>
            </w14:solidFill>
          </w14:textFill>
        </w:rPr>
        <w:t>保险金申请人所能提供的与确认保险事故的性质、原因、损失程度等有关的其他证明和资料；</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6.</w:t>
      </w:r>
      <w:r>
        <w:rPr>
          <w:rFonts w:hint="eastAsia" w:asciiTheme="minorEastAsia" w:hAnsiTheme="minorEastAsia" w:eastAsiaTheme="minorEastAsia"/>
          <w:color w:val="000000" w:themeColor="text1"/>
          <w:szCs w:val="21"/>
          <w14:textFill>
            <w14:solidFill>
              <w14:schemeClr w14:val="tx1"/>
            </w14:solidFill>
          </w14:textFill>
        </w:rPr>
        <w:t>若保险金申请人委托他人申请的，还应提供授权委托书原件、委托人和受托人的身份证明等相关证明文件。</w:t>
      </w:r>
    </w:p>
    <w:p>
      <w:pPr>
        <w:pStyle w:val="20"/>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争议处理和法律适用</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第二十五条</w:t>
      </w:r>
      <w:r>
        <w:rPr>
          <w:rFonts w:hint="eastAsia" w:asciiTheme="minorEastAsia" w:hAnsiTheme="minorEastAsia" w:eastAsiaTheme="minorEastAsia"/>
          <w:color w:val="000000" w:themeColor="text1"/>
          <w:szCs w:val="21"/>
          <w14:textFill>
            <w14:solidFill>
              <w14:schemeClr w14:val="tx1"/>
            </w14:solidFill>
          </w14:textFill>
        </w:rPr>
        <w:t xml:space="preserve"> 因履行本保险合同发生的争议，由当事人协商解决。协商不成的，提交保险单载明的仲裁机构仲裁；保险单未载明仲裁机构或者争议发生后未达成仲裁协议的，依法向人民法院起诉。</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第二十六条</w:t>
      </w:r>
      <w:r>
        <w:rPr>
          <w:rFonts w:hint="eastAsia" w:asciiTheme="minorEastAsia" w:hAnsiTheme="minorEastAsia" w:eastAsiaTheme="minorEastAsia"/>
          <w:color w:val="000000" w:themeColor="text1"/>
          <w:szCs w:val="21"/>
          <w14:textFill>
            <w14:solidFill>
              <w14:schemeClr w14:val="tx1"/>
            </w14:solidFill>
          </w14:textFill>
        </w:rPr>
        <w:t xml:space="preserve"> 与本保险合同有关的以及履行本保险合同产生的一切争议处理适用中华人民共和国法律（不包括港澳台地区法律）。</w:t>
      </w:r>
    </w:p>
    <w:p>
      <w:pPr>
        <w:adjustRightInd w:val="0"/>
        <w:snapToGrid w:val="0"/>
        <w:spacing w:line="360" w:lineRule="auto"/>
        <w:jc w:val="center"/>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其他事项</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第二十七条</w:t>
      </w:r>
      <w:r>
        <w:rPr>
          <w:rFonts w:hint="eastAsia" w:asciiTheme="minorEastAsia" w:hAnsiTheme="minorEastAsia" w:eastAsiaTheme="minorEastAsia"/>
          <w:b/>
          <w:bCs/>
          <w:color w:val="000000" w:themeColor="text1"/>
          <w:szCs w:val="21"/>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Cs w:val="21"/>
          <w14:textFill>
            <w14:solidFill>
              <w14:schemeClr w14:val="tx1"/>
            </w14:solidFill>
          </w14:textFill>
        </w:rPr>
        <w:t>投保人和保险人可以协商变更合同内容。</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变更保险合同的，应当由保险人在保险单或者其他保险凭证上批注或附贴批单，或者投保人和保险人订立变更的书面协议。</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第二十八条</w:t>
      </w:r>
      <w:r>
        <w:rPr>
          <w:rFonts w:hint="eastAsia" w:asciiTheme="minorEastAsia" w:hAnsiTheme="minorEastAsia" w:eastAsiaTheme="minorEastAsia"/>
          <w:color w:val="000000" w:themeColor="text1"/>
          <w:szCs w:val="21"/>
          <w14:textFill>
            <w14:solidFill>
              <w14:schemeClr w14:val="tx1"/>
            </w14:solidFill>
          </w14:textFill>
        </w:rPr>
        <w:t xml:space="preserve"> 在本保险合同成立后，投保人可以书面形式通知保险人解除合同，但保险人已根据本保险合同约定给付保险金的除外。</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投保人解除本保险合同时，应提供下列证明文件和资料：</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（一）保险合同解除申请书；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（二）保险单原件；</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（三）保险费交付凭证；</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（四）投保人身份证明。</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投保人要求解除本保险合同，自保险人接到保险合同解除申请书之时起，本保险合同的效力终止。保险人收到上述证明文件和资料之日起30日内退还保险单的未满期净保费。</w:t>
      </w:r>
    </w:p>
    <w:p>
      <w:pPr>
        <w:pStyle w:val="19"/>
        <w:spacing w:line="360" w:lineRule="auto"/>
        <w:ind w:left="0" w:leftChars="0" w:firstLine="0" w:firstLineChars="0"/>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释义</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aps/>
          <w:color w:val="000000" w:themeColor="text1"/>
          <w:szCs w:val="21"/>
          <w14:textFill>
            <w14:solidFill>
              <w14:schemeClr w14:val="tx1"/>
            </w14:solidFill>
          </w14:textFill>
        </w:rPr>
        <w:t>周岁：</w:t>
      </w:r>
      <w:r>
        <w:rPr>
          <w:rFonts w:hint="eastAsia" w:asciiTheme="minorEastAsia" w:hAnsiTheme="minorEastAsia" w:eastAsiaTheme="minorEastAsia"/>
          <w:color w:val="000000" w:themeColor="text1"/>
          <w:szCs w:val="21"/>
          <w14:textFill>
            <w14:solidFill>
              <w14:schemeClr w14:val="tx1"/>
            </w14:solidFill>
          </w14:textFill>
        </w:rPr>
        <w:t>以法定身份证明文件中记载的出生日期为基础计算的实足年龄。</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意外伤害：</w:t>
      </w:r>
      <w:r>
        <w:rPr>
          <w:rFonts w:hint="eastAsia" w:asciiTheme="minorEastAsia" w:hAnsiTheme="minorEastAsia" w:eastAsiaTheme="minorEastAsia"/>
          <w:color w:val="000000" w:themeColor="text1"/>
          <w:szCs w:val="21"/>
          <w14:textFill>
            <w14:solidFill>
              <w14:schemeClr w14:val="tx1"/>
            </w14:solidFill>
          </w14:textFill>
        </w:rPr>
        <w:t>指以外来的、突发的、非本意的和非疾病的客观事件为直接且单独的原因致使身体受到的伤害。</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猝死：</w:t>
      </w:r>
      <w:r>
        <w:rPr>
          <w:rFonts w:hint="eastAsia" w:asciiTheme="minorEastAsia" w:hAnsiTheme="minorEastAsia" w:eastAsiaTheme="minorEastAsia"/>
          <w:bCs/>
          <w:color w:val="000000" w:themeColor="text1"/>
          <w:szCs w:val="21"/>
          <w14:textFill>
            <w14:solidFill>
              <w14:schemeClr w14:val="tx1"/>
            </w14:solidFill>
          </w14:textFill>
        </w:rPr>
        <w:t>指表面健康的人因潜在疾病、机能障碍或其他原因在出现症状后</w:t>
      </w:r>
      <w:r>
        <w:rPr>
          <w:rFonts w:asciiTheme="minorEastAsia" w:hAnsiTheme="minorEastAsia" w:eastAsiaTheme="minorEastAsia"/>
          <w:bCs/>
          <w:color w:val="000000" w:themeColor="text1"/>
          <w:szCs w:val="21"/>
          <w14:textFill>
            <w14:solidFill>
              <w14:schemeClr w14:val="tx1"/>
            </w14:solidFill>
          </w14:textFill>
        </w:rPr>
        <w:t>24</w:t>
      </w:r>
      <w:r>
        <w:rPr>
          <w:rFonts w:hint="eastAsia" w:asciiTheme="minorEastAsia" w:hAnsiTheme="minorEastAsia" w:eastAsiaTheme="minorEastAsia"/>
          <w:bCs/>
          <w:color w:val="000000" w:themeColor="text1"/>
          <w:szCs w:val="21"/>
          <w14:textFill>
            <w14:solidFill>
              <w14:schemeClr w14:val="tx1"/>
            </w14:solidFill>
          </w14:textFill>
        </w:rPr>
        <w:t>小时内发生的非暴力性突然死亡</w:t>
      </w:r>
      <w:r>
        <w:rPr>
          <w:rFonts w:hint="eastAsia" w:asciiTheme="minorEastAsia" w:hAnsiTheme="minorEastAsia" w:eastAsiaTheme="minorEastAsia"/>
          <w:color w:val="000000" w:themeColor="text1"/>
          <w:szCs w:val="21"/>
          <w14:textFill>
            <w14:solidFill>
              <w14:schemeClr w14:val="tx1"/>
            </w14:solidFill>
          </w14:textFill>
        </w:rPr>
        <w:t>。</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醉酒：</w:t>
      </w:r>
      <w:r>
        <w:rPr>
          <w:rFonts w:hint="eastAsia" w:asciiTheme="minorEastAsia" w:hAnsiTheme="minorEastAsia" w:eastAsiaTheme="minorEastAsia"/>
          <w:color w:val="000000" w:themeColor="text1"/>
          <w:szCs w:val="21"/>
          <w14:textFill>
            <w14:solidFill>
              <w14:schemeClr w14:val="tx1"/>
            </w14:solidFill>
          </w14:textFill>
        </w:rPr>
        <w:t>指血液中的酒精含量大于或者等于80mg/100mL。</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酒后驾车：</w:t>
      </w:r>
      <w:r>
        <w:rPr>
          <w:rFonts w:hint="eastAsia" w:asciiTheme="minorEastAsia" w:hAnsiTheme="minorEastAsia" w:eastAsiaTheme="minorEastAsia"/>
          <w:color w:val="000000" w:themeColor="text1"/>
          <w:szCs w:val="21"/>
          <w14:textFill>
            <w14:solidFill>
              <w14:schemeClr w14:val="tx1"/>
            </w14:solidFill>
          </w14:textFill>
        </w:rPr>
        <w:t>指车辆驾驶人员在其血液中的酒精含量大于或者等于20mg/100mL时的驾驶行为。</w:t>
      </w:r>
    </w:p>
    <w:p>
      <w:pPr>
        <w:pStyle w:val="20"/>
        <w:tabs>
          <w:tab w:val="clear" w:pos="840"/>
        </w:tabs>
        <w:spacing w:line="360" w:lineRule="auto"/>
        <w:ind w:firstLine="422" w:firstLineChars="200"/>
        <w:rPr>
          <w:rFonts w:asciiTheme="minorEastAsia" w:hAnsiTheme="minorEastAsia" w:eastAsiaTheme="minorEastAsia"/>
          <w:b w:val="0"/>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无有效驾驶证：</w:t>
      </w:r>
      <w:r>
        <w:rPr>
          <w:rFonts w:hint="eastAsia" w:asciiTheme="minorEastAsia" w:hAnsiTheme="minorEastAsia" w:eastAsiaTheme="minorEastAsia"/>
          <w:b w:val="0"/>
          <w:color w:val="000000" w:themeColor="text1"/>
          <w:szCs w:val="21"/>
          <w14:textFill>
            <w14:solidFill>
              <w14:schemeClr w14:val="tx1"/>
            </w14:solidFill>
          </w14:textFill>
        </w:rPr>
        <w:t>被保险人存在下列情形之一者：</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1.无驾驶证或驾驶证有效期已届满；</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2.驾驶的机动车与驾驶证载明的准驾车型不符；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3.实习期内驾驶公共汽车、营运客车或者载有爆炸物品、易燃易爆化学物品、剧毒或者放射性等危险物品的机动车，实习期内驾驶的机动车牵引挂车；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4.持未按规定审验的驾驶证，以及在暂扣、扣留、吊销、注销驾驶证期间驾驶机动车；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5.使用各种专用机械车、特种车的人员无国家有关部门核发的有效操作证，驾驶营业性客车的驾驶人无国家有关部门核发的有效资格证书；</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6.依照法律法规或公安机关交通管理部门有关规定不允许驾驶机动车的其他情况下驾车。</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无有效行驶证：</w:t>
      </w:r>
      <w:r>
        <w:rPr>
          <w:rFonts w:hint="eastAsia" w:asciiTheme="minorEastAsia" w:hAnsiTheme="minorEastAsia" w:eastAsiaTheme="minorEastAsia"/>
          <w:color w:val="000000" w:themeColor="text1"/>
          <w:szCs w:val="21"/>
          <w14:textFill>
            <w14:solidFill>
              <w14:schemeClr w14:val="tx1"/>
            </w14:solidFill>
          </w14:textFill>
        </w:rPr>
        <w:t>指下列情形之一：</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1.机动车被依法注销登记的；</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2.无公安机关交通管理部门核发的行驶证、号牌，或临时号牌或临时移动证的机动交通工具</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3.未在规定检验期限内进行机动车安全技术检验或检验未通过的机动交通工具。</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高风险运动：</w:t>
      </w:r>
      <w:r>
        <w:rPr>
          <w:rFonts w:hint="eastAsia" w:asciiTheme="minorEastAsia" w:hAnsiTheme="minorEastAsia" w:eastAsiaTheme="minorEastAsia"/>
          <w:color w:val="000000" w:themeColor="text1"/>
          <w:szCs w:val="21"/>
          <w14:textFill>
            <w14:solidFill>
              <w14:schemeClr w14:val="tx1"/>
            </w14:solidFill>
          </w14:textFill>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潜水，滑水，滑雪，滑冰，驾驶或乘坐滑翔翼、滑翔伞，跳伞，攀岩运动，探险活动，武术比赛，摔跤比赛，柔道，空手道，跆拳道，马术，拳击，特技表演，驾驶卡丁车，赛马，赛车，各种车辆表演，蹦极。</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热气球运动：</w:t>
      </w:r>
      <w:r>
        <w:rPr>
          <w:rFonts w:hint="eastAsia" w:asciiTheme="minorEastAsia" w:hAnsiTheme="minorEastAsia" w:eastAsiaTheme="minorEastAsia"/>
          <w:color w:val="000000" w:themeColor="text1"/>
          <w:szCs w:val="21"/>
          <w14:textFill>
            <w14:solidFill>
              <w14:schemeClr w14:val="tx1"/>
            </w14:solidFill>
          </w14:textFill>
        </w:rPr>
        <w:t>指乘坐热气球升空飞行的体育活动。</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艾滋病（AIDS）或艾滋病病毒（HIV）：</w:t>
      </w:r>
      <w:r>
        <w:rPr>
          <w:rFonts w:hint="eastAsia" w:asciiTheme="minorEastAsia" w:hAnsiTheme="minorEastAsia" w:eastAsiaTheme="minorEastAsia"/>
          <w:color w:val="000000" w:themeColor="text1"/>
          <w:szCs w:val="21"/>
          <w14:textFill>
            <w14:solidFill>
              <w14:schemeClr w14:val="tx1"/>
            </w14:solidFill>
          </w14:textFill>
        </w:rPr>
        <w:t xml:space="preserve">艾滋病病毒指人类免疫缺陷病毒，英文缩写为HIV。艾滋病指人类免疫缺陷病毒引起的获得性免疫缺陷综合征，英文缩写为AIDS。 </w:t>
      </w:r>
    </w:p>
    <w:p>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在人体血液或其它样本中检测到艾滋病病毒或其抗体呈阳性，没有出现临床症状或体征的，为感染艾滋病病毒；如果同时出现了明显临床症状或体征的，为患艾滋病。</w:t>
      </w:r>
    </w:p>
    <w:p>
      <w:pPr>
        <w:adjustRightInd w:val="0"/>
        <w:snapToGrid w:val="0"/>
        <w:spacing w:line="360" w:lineRule="auto"/>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高危工种和职业：</w:t>
      </w:r>
      <w:r>
        <w:rPr>
          <w:rFonts w:hint="eastAsia" w:asciiTheme="minorEastAsia" w:hAnsiTheme="minorEastAsia" w:eastAsiaTheme="minorEastAsia"/>
          <w:color w:val="000000" w:themeColor="text1"/>
          <w:szCs w:val="21"/>
          <w14:textFill>
            <w14:solidFill>
              <w14:schemeClr w14:val="tx1"/>
            </w14:solidFill>
          </w14:textFill>
        </w:rPr>
        <w:t>采矿、采石、采砂石业、油矿开采业、钻井业及有关勘探；坑道内、外作业；钢铁业、金属冶炼与处理及加工业；森林砍伐业或木材加工业；石材加工业；化学原料、易燃易爆易腐蚀品的制造业，易燃易爆品运输业；海上或水上、港口作业人员，桥梁、隧道、地下铁工程人员，造船、修船、拆船业工人，建设工程现场施工人员，高空作业人员，高空室外安装装潢人员，高楼外部清洁工、烟囱清洁工人；航空执勤人员(含飞行驾驶员及空勤人员)；装卸工人，营运货车驾驶员及随车人员，特种车驾驶员及随车人员，试车人员；潜水人员，海水或江河湖泊浴场救生员；特种行业（如酒吧、夜总会、歌舞厅和洗浴中心等娱乐场所）工作人员；瓦斯（天然气）分装工、硫酸、盐酸、硝酸、有毒物品制造及处理人员；武打、特技、杂技、驯兽人员，特种动物养殖人员（如饲养有毒动物、猛兽、猛禽等），从事散打拳击等创伤性竞技运动员，战地记者；电力、高压电工程设施、管道架设工人，广告招牌架设人员、发射塔与户外架空管线安装与维护人员；爆破人员，炸药业、烟花爆竹业工人；军人、防暴警察、特警、刑警；近海、远洋渔业船员。</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未满期净保费：</w:t>
      </w:r>
      <w:r>
        <w:rPr>
          <w:rFonts w:hint="eastAsia" w:asciiTheme="minorEastAsia" w:hAnsiTheme="minorEastAsia" w:eastAsiaTheme="minorEastAsia"/>
          <w:color w:val="000000" w:themeColor="text1"/>
          <w:szCs w:val="21"/>
          <w14:textFill>
            <w14:solidFill>
              <w14:schemeClr w14:val="tx1"/>
            </w14:solidFill>
          </w14:textFill>
        </w:rPr>
        <w:t>未满期净保费＝保险费×[1－（保险单已经过天数/保险期间天数）] ×（1－35%）。经过天数不足一天的按一天计算。</w:t>
      </w:r>
    </w:p>
    <w:p>
      <w:pPr>
        <w:pStyle w:val="19"/>
        <w:spacing w:line="360" w:lineRule="auto"/>
        <w:ind w:left="0" w:leftChars="0" w:firstLine="422"/>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不可抗力：</w:t>
      </w:r>
      <w:r>
        <w:rPr>
          <w:rFonts w:hint="eastAsia" w:asciiTheme="minorEastAsia" w:hAnsiTheme="minorEastAsia" w:eastAsiaTheme="minorEastAsia"/>
          <w:color w:val="000000" w:themeColor="text1"/>
          <w:szCs w:val="21"/>
          <w14:textFill>
            <w14:solidFill>
              <w14:schemeClr w14:val="tx1"/>
            </w14:solidFill>
          </w14:textFill>
        </w:rPr>
        <w:t>指不能预见、不能避免并不能克服的客观情况。</w:t>
      </w:r>
    </w:p>
    <w:p>
      <w:pPr>
        <w:pStyle w:val="19"/>
        <w:spacing w:line="360" w:lineRule="auto"/>
        <w:ind w:left="0" w:leftChars="0" w:firstLine="422"/>
        <w:rPr>
          <w:rFonts w:hint="eastAsia"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保险金申请人</w:t>
      </w:r>
      <w:r>
        <w:rPr>
          <w:rFonts w:hint="eastAsia" w:asciiTheme="minorEastAsia" w:hAnsiTheme="minorEastAsia" w:eastAsiaTheme="minorEastAsia"/>
          <w:b/>
          <w:bCs/>
          <w:color w:val="000000" w:themeColor="text1"/>
          <w:szCs w:val="2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指受益人或被保险人的继承人或依法享有保险金请求权的其他自然人。</w:t>
      </w:r>
    </w:p>
    <w:p>
      <w:pPr>
        <w:pStyle w:val="19"/>
        <w:spacing w:line="360" w:lineRule="auto"/>
        <w:ind w:left="0" w:leftChars="0"/>
        <w:rPr>
          <w:rFonts w:hint="eastAsia" w:asciiTheme="minorEastAsia" w:hAnsiTheme="minorEastAsia" w:eastAsiaTheme="minorEastAsia"/>
          <w:color w:val="000000" w:themeColor="text1"/>
          <w:szCs w:val="21"/>
          <w14:textFill>
            <w14:solidFill>
              <w14:schemeClr w14:val="tx1"/>
            </w14:solidFill>
          </w14:textFill>
        </w:rPr>
      </w:pPr>
    </w:p>
    <w:p>
      <w:pPr>
        <w:pStyle w:val="19"/>
        <w:spacing w:line="360" w:lineRule="auto"/>
        <w:ind w:left="0" w:leftChars="0" w:firstLine="422"/>
        <w:rPr>
          <w:rFonts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422"/>
        <w:rPr>
          <w:rFonts w:hint="eastAsia" w:ascii="宋体" w:hAnsi="宋体"/>
          <w:b/>
          <w:szCs w:val="21"/>
        </w:rPr>
      </w:pPr>
    </w:p>
    <w:p>
      <w:pPr>
        <w:pStyle w:val="19"/>
        <w:spacing w:line="360" w:lineRule="auto"/>
        <w:ind w:left="0" w:leftChars="0" w:firstLine="0" w:firstLineChars="0"/>
        <w:rPr>
          <w:rFonts w:ascii="宋体" w:hAnsi="宋体"/>
          <w:szCs w:val="21"/>
        </w:rPr>
      </w:pPr>
      <w:r>
        <w:rPr>
          <w:rFonts w:hint="eastAsia" w:ascii="宋体" w:hAnsi="宋体"/>
          <w:b/>
          <w:szCs w:val="21"/>
        </w:rPr>
        <w:t>附件：《人身保险伤残评定标准及代码》（标准编号为JR/T 0083－2013）</w:t>
      </w:r>
    </w:p>
    <w:p>
      <w:pPr>
        <w:spacing w:line="360" w:lineRule="auto"/>
        <w:ind w:firstLine="422" w:firstLineChars="200"/>
        <w:rPr>
          <w:rFonts w:ascii="宋体" w:hAnsi="宋体"/>
          <w:b/>
          <w:szCs w:val="21"/>
        </w:rPr>
      </w:pPr>
      <w:r>
        <w:rPr>
          <w:rFonts w:hint="eastAsia" w:ascii="宋体" w:hAnsi="宋体"/>
          <w:b/>
          <w:szCs w:val="21"/>
        </w:rPr>
        <w:t>1 适用范围</w:t>
      </w:r>
    </w:p>
    <w:p>
      <w:pPr>
        <w:spacing w:line="360" w:lineRule="auto"/>
        <w:ind w:firstLine="420" w:firstLineChars="200"/>
        <w:rPr>
          <w:rFonts w:hint="eastAsia" w:ascii="宋体" w:hAnsi="宋体"/>
          <w:szCs w:val="21"/>
        </w:rPr>
      </w:pPr>
      <w:r>
        <w:rPr>
          <w:rFonts w:hint="eastAsia" w:ascii="宋体" w:hAnsi="宋体"/>
          <w:szCs w:val="21"/>
        </w:rPr>
        <w:t>本标准适用于意外险产品或包括意外责任的保险产品中的伤残保障，用于评定由于意外伤害因素引起的伤残程度。</w:t>
      </w:r>
    </w:p>
    <w:p>
      <w:pPr>
        <w:spacing w:line="360" w:lineRule="auto"/>
        <w:ind w:firstLine="422" w:firstLineChars="200"/>
        <w:rPr>
          <w:rFonts w:hint="eastAsia" w:ascii="宋体" w:hAnsi="宋体"/>
          <w:b/>
          <w:szCs w:val="21"/>
        </w:rPr>
      </w:pPr>
      <w:r>
        <w:rPr>
          <w:rFonts w:hint="eastAsia" w:ascii="宋体" w:hAnsi="宋体"/>
          <w:b/>
          <w:szCs w:val="21"/>
        </w:rPr>
        <w:t>2 术语和定义</w:t>
      </w:r>
    </w:p>
    <w:p>
      <w:pPr>
        <w:spacing w:line="360" w:lineRule="auto"/>
        <w:ind w:firstLine="420" w:firstLineChars="200"/>
        <w:rPr>
          <w:rFonts w:hint="eastAsia" w:ascii="宋体" w:hAnsi="宋体"/>
          <w:szCs w:val="21"/>
        </w:rPr>
      </w:pPr>
      <w:r>
        <w:rPr>
          <w:rFonts w:hint="eastAsia" w:ascii="宋体" w:hAnsi="宋体"/>
          <w:szCs w:val="21"/>
        </w:rPr>
        <w:t>下列术语和定义适用于本标准。</w:t>
      </w:r>
    </w:p>
    <w:p>
      <w:pPr>
        <w:spacing w:line="360" w:lineRule="auto"/>
        <w:ind w:firstLine="420" w:firstLineChars="200"/>
        <w:rPr>
          <w:rFonts w:hint="eastAsia" w:ascii="宋体" w:hAnsi="宋体"/>
          <w:szCs w:val="21"/>
        </w:rPr>
      </w:pPr>
      <w:r>
        <w:rPr>
          <w:rFonts w:hint="eastAsia" w:ascii="宋体" w:hAnsi="宋体"/>
          <w:szCs w:val="21"/>
        </w:rPr>
        <w:t>2.1 伤残：因意外伤害损伤所致的人体残疾。</w:t>
      </w:r>
    </w:p>
    <w:p>
      <w:pPr>
        <w:spacing w:line="360" w:lineRule="auto"/>
        <w:ind w:firstLine="420" w:firstLineChars="200"/>
        <w:rPr>
          <w:rFonts w:hint="eastAsia" w:ascii="宋体" w:hAnsi="宋体"/>
          <w:szCs w:val="21"/>
        </w:rPr>
      </w:pPr>
      <w:r>
        <w:rPr>
          <w:rFonts w:hint="eastAsia" w:ascii="宋体" w:hAnsi="宋体"/>
          <w:szCs w:val="21"/>
        </w:rPr>
        <w:t>2.2 身体结构：指身体的解剖部位，如器官、肢体及其组成部分。</w:t>
      </w:r>
    </w:p>
    <w:p>
      <w:pPr>
        <w:spacing w:line="360" w:lineRule="auto"/>
        <w:ind w:firstLine="420" w:firstLineChars="200"/>
        <w:rPr>
          <w:rFonts w:hint="eastAsia" w:ascii="宋体" w:hAnsi="宋体"/>
          <w:szCs w:val="21"/>
        </w:rPr>
      </w:pPr>
      <w:r>
        <w:rPr>
          <w:rFonts w:hint="eastAsia" w:ascii="宋体" w:hAnsi="宋体"/>
          <w:szCs w:val="21"/>
        </w:rPr>
        <w:t>2.3 身体功能：指身体各系统的生理功能。</w:t>
      </w:r>
    </w:p>
    <w:p>
      <w:pPr>
        <w:spacing w:line="360" w:lineRule="auto"/>
        <w:ind w:firstLine="422" w:firstLineChars="200"/>
        <w:rPr>
          <w:rFonts w:hint="eastAsia" w:ascii="宋体" w:hAnsi="宋体"/>
          <w:b/>
          <w:szCs w:val="21"/>
        </w:rPr>
      </w:pPr>
      <w:r>
        <w:rPr>
          <w:rFonts w:hint="eastAsia" w:ascii="宋体" w:hAnsi="宋体"/>
          <w:b/>
          <w:szCs w:val="21"/>
        </w:rPr>
        <w:t>3 标准的内容和结构</w:t>
      </w:r>
    </w:p>
    <w:p>
      <w:pPr>
        <w:spacing w:line="360" w:lineRule="auto"/>
        <w:ind w:firstLine="420" w:firstLineChars="200"/>
        <w:rPr>
          <w:rFonts w:hint="eastAsia" w:ascii="宋体" w:hAnsi="宋体"/>
          <w:szCs w:val="21"/>
        </w:rPr>
      </w:pPr>
      <w:r>
        <w:rPr>
          <w:rFonts w:hint="eastAsia" w:ascii="宋体" w:hAnsi="宋体"/>
          <w:szCs w:val="21"/>
        </w:rPr>
        <w:t>本标准参照ICF有关功能和残疾的分类理论与方法，建立“神经系统的结构和精神功能”、“眼，耳和有关的结构和功能”、“发声和言语的结构和功能”、“心血管，免疫和呼吸系统的结构和功能”、“消化、代谢和内分泌系统有关的结构和功能”、“泌尿和生殖系统有关的结构和功能”、“神经肌肉骨骼和运动有关的结构和功能”和“皮肤和有关的结构和功能” 8大类，共281项人身保险伤残条目。</w:t>
      </w:r>
    </w:p>
    <w:p>
      <w:pPr>
        <w:spacing w:line="360" w:lineRule="auto"/>
        <w:ind w:firstLine="420" w:firstLineChars="200"/>
        <w:rPr>
          <w:rFonts w:hint="eastAsia" w:ascii="宋体" w:hAnsi="宋体"/>
          <w:szCs w:val="21"/>
        </w:rPr>
      </w:pPr>
      <w:r>
        <w:rPr>
          <w:rFonts w:hint="eastAsia" w:ascii="宋体" w:hAnsi="宋体"/>
          <w:szCs w:val="21"/>
        </w:rPr>
        <w:t>本标准对功能和残疾进行了分类和分级，将人身保险伤残程度划分为一至十级，最重为第一级，最轻为第十级。</w:t>
      </w:r>
    </w:p>
    <w:p>
      <w:pPr>
        <w:spacing w:line="360" w:lineRule="auto"/>
        <w:ind w:firstLine="420" w:firstLineChars="200"/>
        <w:rPr>
          <w:rFonts w:hint="eastAsia" w:ascii="宋体" w:hAnsi="宋体"/>
          <w:szCs w:val="21"/>
        </w:rPr>
      </w:pPr>
      <w:r>
        <w:rPr>
          <w:rFonts w:hint="eastAsia" w:ascii="宋体" w:hAnsi="宋体"/>
          <w:szCs w:val="21"/>
        </w:rPr>
        <w:t>与人身保险伤残程度等级相对应的保险金给付比例分为十档，伤残程度第一级对应的保险金给付比例为100%，伤残程度第十级对应的保险金给付比例为10%，每级相差10%。</w:t>
      </w:r>
    </w:p>
    <w:p>
      <w:pPr>
        <w:spacing w:line="360" w:lineRule="auto"/>
        <w:ind w:firstLine="422" w:firstLineChars="200"/>
        <w:rPr>
          <w:rFonts w:hint="eastAsia" w:ascii="宋体" w:hAnsi="宋体"/>
          <w:b/>
          <w:szCs w:val="21"/>
        </w:rPr>
      </w:pPr>
      <w:r>
        <w:rPr>
          <w:rFonts w:hint="eastAsia" w:ascii="宋体" w:hAnsi="宋体"/>
          <w:b/>
          <w:szCs w:val="21"/>
        </w:rPr>
        <w:t>4 伤残的评定原则</w:t>
      </w:r>
    </w:p>
    <w:p>
      <w:pPr>
        <w:spacing w:line="360" w:lineRule="auto"/>
        <w:ind w:firstLine="420" w:firstLineChars="200"/>
        <w:rPr>
          <w:rFonts w:hint="eastAsia" w:ascii="宋体" w:hAnsi="宋体"/>
          <w:szCs w:val="21"/>
        </w:rPr>
      </w:pPr>
      <w:r>
        <w:rPr>
          <w:rFonts w:hint="eastAsia" w:ascii="宋体" w:hAnsi="宋体"/>
          <w:szCs w:val="21"/>
        </w:rPr>
        <w:t>4.1 确定伤残类别：评定伤残时，应根据人体的身体结构与功能损伤情况确定所涉及的伤残类别。</w:t>
      </w:r>
    </w:p>
    <w:p>
      <w:pPr>
        <w:spacing w:line="360" w:lineRule="auto"/>
        <w:ind w:firstLine="420" w:firstLineChars="200"/>
        <w:rPr>
          <w:rFonts w:hint="eastAsia" w:ascii="宋体" w:hAnsi="宋体"/>
          <w:szCs w:val="21"/>
        </w:rPr>
      </w:pPr>
      <w:r>
        <w:rPr>
          <w:rFonts w:hint="eastAsia" w:ascii="宋体" w:hAnsi="宋体"/>
          <w:szCs w:val="21"/>
        </w:rPr>
        <w:t>4.2 确定伤残等级：应根据伤残情况，在同类别伤残下，确定伤残等级。</w:t>
      </w:r>
    </w:p>
    <w:p>
      <w:pPr>
        <w:spacing w:line="360" w:lineRule="auto"/>
        <w:ind w:firstLine="420" w:firstLineChars="200"/>
        <w:rPr>
          <w:rFonts w:hint="eastAsia" w:ascii="宋体" w:hAnsi="宋体"/>
          <w:szCs w:val="21"/>
        </w:rPr>
      </w:pPr>
      <w:r>
        <w:rPr>
          <w:rFonts w:hint="eastAsia" w:ascii="宋体" w:hAnsi="宋体"/>
          <w:szCs w:val="21"/>
        </w:rPr>
        <w:t>4.3 确定保险金给付比例：应根据伤残等级对应的百分比，确定保险金给付比例。</w:t>
      </w:r>
    </w:p>
    <w:p>
      <w:pPr>
        <w:spacing w:line="360" w:lineRule="auto"/>
        <w:ind w:firstLine="420" w:firstLineChars="200"/>
        <w:rPr>
          <w:rFonts w:hint="eastAsia" w:ascii="宋体" w:hAnsi="宋体"/>
          <w:szCs w:val="21"/>
        </w:rPr>
      </w:pPr>
      <w:r>
        <w:rPr>
          <w:rFonts w:hint="eastAsia" w:ascii="宋体" w:hAnsi="宋体"/>
          <w:szCs w:val="21"/>
        </w:rPr>
        <w:t>4.4 多处伤残的评定原则：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最高晋升至第一级。同一部位和性质的伤残，不应采用本标准条文两条以上或者同一条文两次以上进行评定。</w:t>
      </w:r>
    </w:p>
    <w:p>
      <w:pPr>
        <w:spacing w:line="360" w:lineRule="auto"/>
        <w:ind w:firstLine="422" w:firstLineChars="200"/>
        <w:rPr>
          <w:rFonts w:hint="eastAsia" w:ascii="宋体" w:hAnsi="宋体"/>
          <w:b/>
          <w:szCs w:val="21"/>
        </w:rPr>
      </w:pPr>
      <w:r>
        <w:rPr>
          <w:rFonts w:hint="eastAsia" w:ascii="宋体" w:hAnsi="宋体"/>
          <w:b/>
          <w:szCs w:val="21"/>
        </w:rPr>
        <w:t>5 说明</w:t>
      </w:r>
    </w:p>
    <w:p>
      <w:pPr>
        <w:spacing w:line="360" w:lineRule="auto"/>
        <w:ind w:firstLine="420" w:firstLineChars="200"/>
        <w:rPr>
          <w:rFonts w:hint="eastAsia" w:ascii="宋体" w:hAnsi="宋体"/>
          <w:szCs w:val="21"/>
        </w:rPr>
      </w:pPr>
      <w:r>
        <w:rPr>
          <w:rFonts w:hint="eastAsia" w:ascii="宋体" w:hAnsi="宋体"/>
          <w:szCs w:val="21"/>
        </w:rPr>
        <w:t>本标准中“以上”均包括本数值或本部位。</w:t>
      </w: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0" w:name="_Toc356463463"/>
      <w:r>
        <w:rPr>
          <w:rFonts w:hint="eastAsia" w:ascii="宋体" w:hAnsi="宋体" w:eastAsia="宋体"/>
          <w:sz w:val="21"/>
          <w:szCs w:val="21"/>
        </w:rPr>
        <w:t>神经系统的结构和精神功能</w:t>
      </w:r>
      <w:bookmarkEnd w:id="0"/>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 w:name="_Toc356463464"/>
      <w:r>
        <w:rPr>
          <w:rFonts w:hint="eastAsia" w:ascii="宋体" w:hAnsi="宋体"/>
          <w:sz w:val="21"/>
          <w:szCs w:val="21"/>
        </w:rPr>
        <w:t>脑膜的结构损伤</w:t>
      </w:r>
      <w:bookmarkEnd w:id="1"/>
    </w:p>
    <w:tbl>
      <w:tblPr>
        <w:tblStyle w:val="17"/>
        <w:tblW w:w="8268" w:type="dxa"/>
        <w:jc w:val="center"/>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8"/>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7208" w:type="dxa"/>
            <w:shd w:val="clear" w:color="auto" w:fill="auto"/>
            <w:vAlign w:val="center"/>
          </w:tcPr>
          <w:p>
            <w:pPr>
              <w:pStyle w:val="42"/>
              <w:spacing w:line="360" w:lineRule="auto"/>
              <w:rPr>
                <w:sz w:val="21"/>
                <w:szCs w:val="21"/>
              </w:rPr>
            </w:pPr>
            <w:r>
              <w:rPr>
                <w:rFonts w:hint="eastAsia"/>
                <w:sz w:val="21"/>
                <w:szCs w:val="21"/>
              </w:rPr>
              <w:t>外伤性脑脊液鼻漏或耳漏</w:t>
            </w:r>
          </w:p>
        </w:tc>
        <w:tc>
          <w:tcPr>
            <w:tcW w:w="1060" w:type="dxa"/>
            <w:shd w:val="clear" w:color="auto" w:fill="auto"/>
            <w:vAlign w:val="center"/>
          </w:tcPr>
          <w:p>
            <w:pPr>
              <w:pStyle w:val="42"/>
              <w:spacing w:line="360" w:lineRule="auto"/>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2" w:name="_Toc356463465"/>
      <w:r>
        <w:rPr>
          <w:rFonts w:hint="eastAsia" w:ascii="宋体" w:hAnsi="宋体"/>
          <w:sz w:val="21"/>
          <w:szCs w:val="21"/>
        </w:rPr>
        <w:t>脑的结构损伤，智力功能障碍</w:t>
      </w:r>
      <w:bookmarkEnd w:id="2"/>
    </w:p>
    <w:tbl>
      <w:tblPr>
        <w:tblStyle w:val="17"/>
        <w:tblW w:w="8261" w:type="dxa"/>
        <w:jc w:val="center"/>
        <w:tblInd w:w="-1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5"/>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shd w:val="clear" w:color="auto" w:fill="auto"/>
          </w:tcPr>
          <w:p>
            <w:pPr>
              <w:pStyle w:val="42"/>
              <w:spacing w:line="360" w:lineRule="auto"/>
              <w:rPr>
                <w:sz w:val="21"/>
                <w:szCs w:val="21"/>
              </w:rPr>
            </w:pPr>
            <w:r>
              <w:rPr>
                <w:rFonts w:hint="eastAsia"/>
                <w:sz w:val="21"/>
                <w:szCs w:val="21"/>
              </w:rPr>
              <w:t>颅脑损伤导致极度智力缺损（智商小于等于</w:t>
            </w:r>
            <w:r>
              <w:rPr>
                <w:sz w:val="21"/>
                <w:szCs w:val="21"/>
              </w:rPr>
              <w:t>20），日常生活完全不能自理，处于完全护理依赖状态</w:t>
            </w:r>
          </w:p>
        </w:tc>
        <w:tc>
          <w:tcPr>
            <w:tcW w:w="1056"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205" w:type="dxa"/>
            <w:shd w:val="clear" w:color="auto" w:fill="auto"/>
          </w:tcPr>
          <w:p>
            <w:pPr>
              <w:pStyle w:val="42"/>
              <w:spacing w:line="360" w:lineRule="auto"/>
              <w:rPr>
                <w:sz w:val="21"/>
                <w:szCs w:val="21"/>
              </w:rPr>
            </w:pPr>
            <w:r>
              <w:rPr>
                <w:rFonts w:hint="eastAsia"/>
                <w:sz w:val="21"/>
                <w:szCs w:val="21"/>
              </w:rPr>
              <w:t>颅脑损伤导致重度智力缺损（智商小于等于</w:t>
            </w:r>
            <w:r>
              <w:rPr>
                <w:sz w:val="21"/>
                <w:szCs w:val="21"/>
              </w:rPr>
              <w:t>34），日常生活需随时有人帮助才能完成，处于完全护理依赖状态</w:t>
            </w:r>
          </w:p>
        </w:tc>
        <w:tc>
          <w:tcPr>
            <w:tcW w:w="1056"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shd w:val="clear" w:color="auto" w:fill="auto"/>
          </w:tcPr>
          <w:p>
            <w:pPr>
              <w:pStyle w:val="42"/>
              <w:spacing w:line="360" w:lineRule="auto"/>
              <w:rPr>
                <w:sz w:val="21"/>
                <w:szCs w:val="21"/>
              </w:rPr>
            </w:pPr>
            <w:r>
              <w:rPr>
                <w:rFonts w:hint="eastAsia"/>
                <w:sz w:val="21"/>
                <w:szCs w:val="21"/>
              </w:rPr>
              <w:t>颅脑损伤导致重度智力缺损（智商小于等于</w:t>
            </w:r>
            <w:r>
              <w:rPr>
                <w:sz w:val="21"/>
                <w:szCs w:val="21"/>
              </w:rPr>
              <w:t>34），不能完全独立生活，需经常有人监护，处于大部分护理依赖状态</w:t>
            </w:r>
          </w:p>
        </w:tc>
        <w:tc>
          <w:tcPr>
            <w:tcW w:w="1056"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205" w:type="dxa"/>
            <w:shd w:val="clear" w:color="auto" w:fill="auto"/>
          </w:tcPr>
          <w:p>
            <w:pPr>
              <w:pStyle w:val="42"/>
              <w:spacing w:line="360" w:lineRule="auto"/>
              <w:rPr>
                <w:sz w:val="21"/>
                <w:szCs w:val="21"/>
              </w:rPr>
            </w:pPr>
            <w:r>
              <w:rPr>
                <w:rFonts w:hint="eastAsia"/>
                <w:sz w:val="21"/>
                <w:szCs w:val="21"/>
              </w:rPr>
              <w:t>颅脑损伤导致中度智力缺损（智商小于等于</w:t>
            </w:r>
            <w:r>
              <w:rPr>
                <w:sz w:val="21"/>
                <w:szCs w:val="21"/>
              </w:rPr>
              <w:t>49），日常生活能力严重受限，间或需要帮助，处于大部分护理依赖状态</w:t>
            </w:r>
          </w:p>
        </w:tc>
        <w:tc>
          <w:tcPr>
            <w:tcW w:w="1056" w:type="dxa"/>
            <w:shd w:val="clear" w:color="auto" w:fill="auto"/>
            <w:vAlign w:val="center"/>
          </w:tcPr>
          <w:p>
            <w:pPr>
              <w:pStyle w:val="42"/>
              <w:spacing w:line="360" w:lineRule="auto"/>
              <w:jc w:val="center"/>
              <w:rPr>
                <w:sz w:val="21"/>
                <w:szCs w:val="21"/>
              </w:rPr>
            </w:pPr>
            <w:r>
              <w:rPr>
                <w:sz w:val="21"/>
                <w:szCs w:val="21"/>
              </w:rPr>
              <w:t>4级</w:t>
            </w:r>
          </w:p>
        </w:tc>
      </w:tr>
    </w:tbl>
    <w:p>
      <w:pPr>
        <w:pStyle w:val="40"/>
        <w:spacing w:line="360" w:lineRule="auto"/>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eq \o\ac(○,1)</w:instrText>
      </w:r>
      <w:r>
        <w:rPr>
          <w:rFonts w:ascii="宋体" w:hAnsi="宋体" w:eastAsia="宋体"/>
          <w:sz w:val="21"/>
          <w:szCs w:val="21"/>
        </w:rPr>
        <w:fldChar w:fldCharType="end"/>
      </w:r>
      <w:r>
        <w:rPr>
          <w:rFonts w:hint="eastAsia" w:ascii="宋体" w:hAnsi="宋体" w:eastAsia="宋体"/>
          <w:sz w:val="21"/>
          <w:szCs w:val="21"/>
        </w:rPr>
        <w:t>护理依赖：应用“基本日常生活活动能力”的丧失程度来判断护理依赖程度。</w:t>
      </w:r>
    </w:p>
    <w:p>
      <w:pPr>
        <w:pStyle w:val="40"/>
        <w:spacing w:line="360" w:lineRule="auto"/>
        <w:ind w:left="8" w:leftChars="4" w:firstLine="413" w:firstLineChars="197"/>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基本日常生活活动是指：（1）</w:t>
      </w:r>
      <w:r>
        <w:rPr>
          <w:rFonts w:ascii="宋体" w:hAnsi="宋体" w:eastAsia="宋体"/>
          <w:sz w:val="21"/>
          <w:szCs w:val="21"/>
        </w:rPr>
        <w:t>穿衣：自己能够穿衣及脱衣；</w:t>
      </w:r>
      <w:r>
        <w:rPr>
          <w:rFonts w:hint="eastAsia" w:ascii="宋体" w:hAnsi="宋体" w:eastAsia="宋体"/>
          <w:sz w:val="21"/>
          <w:szCs w:val="21"/>
        </w:rPr>
        <w:t>（2）</w:t>
      </w:r>
      <w:r>
        <w:rPr>
          <w:rFonts w:ascii="宋体" w:hAnsi="宋体" w:eastAsia="宋体"/>
          <w:sz w:val="21"/>
          <w:szCs w:val="21"/>
        </w:rPr>
        <w:t>移动：自己从一个房间到另一个房间；</w:t>
      </w:r>
      <w:r>
        <w:rPr>
          <w:rFonts w:hint="eastAsia" w:ascii="宋体" w:hAnsi="宋体" w:eastAsia="宋体"/>
          <w:sz w:val="21"/>
          <w:szCs w:val="21"/>
        </w:rPr>
        <w:t>（3）</w:t>
      </w:r>
      <w:r>
        <w:rPr>
          <w:rFonts w:ascii="宋体" w:hAnsi="宋体" w:eastAsia="宋体"/>
          <w:sz w:val="21"/>
          <w:szCs w:val="21"/>
        </w:rPr>
        <w:t>行动：自己上下床或上下轮椅；</w:t>
      </w:r>
      <w:r>
        <w:rPr>
          <w:rFonts w:hint="eastAsia" w:ascii="宋体" w:hAnsi="宋体" w:eastAsia="宋体"/>
          <w:sz w:val="21"/>
          <w:szCs w:val="21"/>
        </w:rPr>
        <w:t>（4）</w:t>
      </w:r>
      <w:r>
        <w:rPr>
          <w:rFonts w:ascii="宋体" w:hAnsi="宋体" w:eastAsia="宋体"/>
          <w:sz w:val="21"/>
          <w:szCs w:val="21"/>
        </w:rPr>
        <w:t>如厕：自己控制进行大小便；</w:t>
      </w:r>
      <w:r>
        <w:rPr>
          <w:rFonts w:hint="eastAsia" w:ascii="宋体" w:hAnsi="宋体" w:eastAsia="宋体"/>
          <w:sz w:val="21"/>
          <w:szCs w:val="21"/>
        </w:rPr>
        <w:t>（5）</w:t>
      </w:r>
      <w:r>
        <w:rPr>
          <w:rFonts w:ascii="宋体" w:hAnsi="宋体" w:eastAsia="宋体"/>
          <w:sz w:val="21"/>
          <w:szCs w:val="21"/>
        </w:rPr>
        <w:t>进食：自己从已准备好的碗或碟中取食物放入口中；</w:t>
      </w:r>
      <w:r>
        <w:rPr>
          <w:rFonts w:hint="eastAsia" w:ascii="宋体" w:hAnsi="宋体" w:eastAsia="宋体"/>
          <w:sz w:val="21"/>
          <w:szCs w:val="21"/>
        </w:rPr>
        <w:t>（6）</w:t>
      </w:r>
      <w:r>
        <w:rPr>
          <w:rFonts w:ascii="宋体" w:hAnsi="宋体" w:eastAsia="宋体"/>
          <w:sz w:val="21"/>
          <w:szCs w:val="21"/>
        </w:rPr>
        <w:t>洗澡：自己进行淋浴或盆浴。</w:t>
      </w:r>
    </w:p>
    <w:p>
      <w:pPr>
        <w:pStyle w:val="40"/>
        <w:spacing w:line="360" w:lineRule="auto"/>
        <w:ind w:left="2" w:firstLine="369" w:firstLineChars="176"/>
        <w:rPr>
          <w:rFonts w:hint="eastAsia"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fldChar w:fldCharType="begin"/>
      </w:r>
      <w:r>
        <w:rPr>
          <w:rFonts w:ascii="宋体" w:hAnsi="宋体" w:eastAsia="宋体"/>
          <w:sz w:val="21"/>
          <w:szCs w:val="21"/>
        </w:rPr>
        <w:instrText xml:space="preserve"> eq \o\ac(○,3)</w:instrText>
      </w:r>
      <w:r>
        <w:rPr>
          <w:rFonts w:ascii="宋体" w:hAnsi="宋体" w:eastAsia="宋体"/>
          <w:sz w:val="21"/>
          <w:szCs w:val="21"/>
        </w:rPr>
        <w:fldChar w:fldCharType="end"/>
      </w:r>
      <w:r>
        <w:rPr>
          <w:rFonts w:hint="eastAsia" w:ascii="宋体" w:hAnsi="宋体" w:eastAsia="宋体"/>
          <w:sz w:val="21"/>
          <w:szCs w:val="21"/>
        </w:rPr>
        <w:t>护理依赖的程度分三级：（1）</w:t>
      </w:r>
      <w:r>
        <w:rPr>
          <w:rFonts w:ascii="宋体" w:hAnsi="宋体" w:eastAsia="宋体"/>
          <w:sz w:val="21"/>
          <w:szCs w:val="21"/>
        </w:rPr>
        <w:t>完全护理依赖指生活完全不能自理，上述六项基本日常生活活动均需护理者；</w:t>
      </w:r>
      <w:r>
        <w:rPr>
          <w:rFonts w:hint="eastAsia" w:ascii="宋体" w:hAnsi="宋体" w:eastAsia="宋体"/>
          <w:sz w:val="21"/>
          <w:szCs w:val="21"/>
        </w:rPr>
        <w:t>（2）</w:t>
      </w:r>
      <w:r>
        <w:rPr>
          <w:rFonts w:ascii="宋体" w:hAnsi="宋体" w:eastAsia="宋体"/>
          <w:sz w:val="21"/>
          <w:szCs w:val="21"/>
        </w:rPr>
        <w:t>大部分护理依赖指生活大部不能自理，上述六项基本日常生活活动中三项或三项以上需要护理者；</w:t>
      </w:r>
      <w:r>
        <w:rPr>
          <w:rFonts w:hint="eastAsia" w:ascii="宋体" w:hAnsi="宋体" w:eastAsia="宋体"/>
          <w:sz w:val="21"/>
          <w:szCs w:val="21"/>
        </w:rPr>
        <w:t>（3）</w:t>
      </w:r>
      <w:r>
        <w:rPr>
          <w:rFonts w:ascii="宋体" w:hAnsi="宋体" w:eastAsia="宋体"/>
          <w:sz w:val="21"/>
          <w:szCs w:val="21"/>
        </w:rPr>
        <w:t>部分护理依赖指部分生活不能自理，上述六项基本日常生活活动中一项或一项以上需要护理者。</w:t>
      </w: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 w:name="_Toc356463466"/>
      <w:r>
        <w:rPr>
          <w:rFonts w:hint="eastAsia" w:ascii="宋体" w:hAnsi="宋体"/>
          <w:sz w:val="21"/>
          <w:szCs w:val="21"/>
        </w:rPr>
        <w:t>意识功能障碍</w:t>
      </w:r>
      <w:bookmarkEnd w:id="3"/>
    </w:p>
    <w:p>
      <w:pPr>
        <w:spacing w:line="360" w:lineRule="auto"/>
        <w:ind w:firstLine="420" w:firstLineChars="200"/>
        <w:rPr>
          <w:rFonts w:ascii="宋体" w:hAnsi="宋体"/>
          <w:szCs w:val="21"/>
        </w:rPr>
      </w:pPr>
      <w:r>
        <w:rPr>
          <w:rFonts w:hint="eastAsia" w:ascii="宋体" w:hAnsi="宋体"/>
          <w:szCs w:val="21"/>
        </w:rPr>
        <w:t>意识功能是指意识和警觉状态下的一般精神功能，包括清醒和持续的觉醒状态。本标准中的意识功能障碍是指颅脑损伤导致植物状态。</w:t>
      </w:r>
    </w:p>
    <w:tbl>
      <w:tblPr>
        <w:tblStyle w:val="17"/>
        <w:tblW w:w="8292" w:type="dxa"/>
        <w:jc w:val="center"/>
        <w:tblInd w:w="-18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20" w:type="dxa"/>
            <w:shd w:val="clear" w:color="auto" w:fill="auto"/>
            <w:vAlign w:val="center"/>
          </w:tcPr>
          <w:p>
            <w:pPr>
              <w:pStyle w:val="42"/>
              <w:spacing w:line="360" w:lineRule="auto"/>
              <w:rPr>
                <w:sz w:val="21"/>
                <w:szCs w:val="21"/>
              </w:rPr>
            </w:pPr>
            <w:r>
              <w:rPr>
                <w:rFonts w:hint="eastAsia"/>
                <w:sz w:val="21"/>
                <w:szCs w:val="21"/>
              </w:rPr>
              <w:t>颅脑损伤导致植物状态</w:t>
            </w:r>
          </w:p>
        </w:tc>
        <w:tc>
          <w:tcPr>
            <w:tcW w:w="1072" w:type="dxa"/>
            <w:shd w:val="clear" w:color="auto" w:fill="auto"/>
            <w:vAlign w:val="center"/>
          </w:tcPr>
          <w:p>
            <w:pPr>
              <w:pStyle w:val="42"/>
              <w:spacing w:line="360" w:lineRule="auto"/>
              <w:jc w:val="center"/>
              <w:rPr>
                <w:sz w:val="21"/>
                <w:szCs w:val="21"/>
              </w:rPr>
            </w:pPr>
            <w:r>
              <w:rPr>
                <w:sz w:val="21"/>
                <w:szCs w:val="21"/>
              </w:rPr>
              <w:t>1级</w:t>
            </w:r>
          </w:p>
        </w:tc>
      </w:tr>
    </w:tbl>
    <w:p>
      <w:pPr>
        <w:pStyle w:val="40"/>
        <w:spacing w:line="360" w:lineRule="auto"/>
        <w:ind w:left="2"/>
        <w:rPr>
          <w:rFonts w:ascii="宋体" w:hAnsi="宋体" w:eastAsia="宋体"/>
          <w:sz w:val="21"/>
          <w:szCs w:val="21"/>
        </w:rPr>
      </w:pPr>
      <w:r>
        <w:rPr>
          <w:rFonts w:hint="eastAsia" w:ascii="宋体" w:hAnsi="宋体" w:eastAsia="宋体"/>
          <w:sz w:val="21"/>
          <w:szCs w:val="21"/>
        </w:rPr>
        <w:t>注：植物状态指由于严重颅脑损伤造成认知功能丧失，无意识活动，不能执行命令，保持自主呼吸和血压，有睡眠</w:t>
      </w:r>
      <w:r>
        <w:rPr>
          <w:rFonts w:ascii="宋体" w:hAnsi="宋体" w:eastAsia="宋体"/>
          <w:sz w:val="21"/>
          <w:szCs w:val="21"/>
        </w:rPr>
        <w:t>-醒觉周期，不能理解和表达语言，能自动睁眼或刺激下睁眼，可有无目的性眼球跟踪运动，丘脑下部及脑干功能基本保存。</w:t>
      </w:r>
    </w:p>
    <w:p>
      <w:pPr>
        <w:spacing w:line="360" w:lineRule="auto"/>
        <w:ind w:firstLine="420" w:firstLineChars="200"/>
        <w:contextualSpacing/>
        <w:rPr>
          <w:rFonts w:ascii="宋体" w:hAnsi="宋体"/>
          <w:szCs w:val="21"/>
        </w:rPr>
      </w:pP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4" w:name="_Toc356463467"/>
      <w:r>
        <w:rPr>
          <w:rFonts w:hint="eastAsia" w:ascii="宋体" w:hAnsi="宋体" w:eastAsia="宋体"/>
          <w:sz w:val="21"/>
          <w:szCs w:val="21"/>
        </w:rPr>
        <w:t>眼，耳和有关的结构和功能</w:t>
      </w:r>
      <w:bookmarkEnd w:id="4"/>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 w:name="_Toc356463468"/>
      <w:r>
        <w:rPr>
          <w:rFonts w:hint="eastAsia" w:ascii="宋体" w:hAnsi="宋体"/>
          <w:sz w:val="21"/>
          <w:szCs w:val="21"/>
        </w:rPr>
        <w:t>眼球损伤或视功能障碍</w:t>
      </w:r>
      <w:bookmarkEnd w:id="5"/>
    </w:p>
    <w:p>
      <w:pPr>
        <w:spacing w:line="360" w:lineRule="auto"/>
        <w:ind w:firstLine="420" w:firstLineChars="200"/>
        <w:rPr>
          <w:rFonts w:ascii="宋体" w:hAnsi="宋体"/>
          <w:szCs w:val="21"/>
          <w:lang w:val="en-GB"/>
        </w:rPr>
      </w:pPr>
      <w:r>
        <w:rPr>
          <w:rFonts w:hint="eastAsia" w:ascii="宋体" w:hAnsi="宋体"/>
          <w:szCs w:val="21"/>
          <w:lang w:val="en-GB"/>
        </w:rPr>
        <w:t>视功能是指与感受存在的光线和感受视觉刺激的形式、大小、形状和颜色等有关的感觉功能。本标准中的视功能障碍是指眼盲目或低视力。</w:t>
      </w:r>
    </w:p>
    <w:tbl>
      <w:tblPr>
        <w:tblStyle w:val="17"/>
        <w:tblW w:w="832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7230" w:type="dxa"/>
            <w:shd w:val="clear" w:color="auto" w:fill="auto"/>
          </w:tcPr>
          <w:p>
            <w:pPr>
              <w:pStyle w:val="42"/>
              <w:spacing w:line="360" w:lineRule="auto"/>
              <w:rPr>
                <w:sz w:val="21"/>
                <w:szCs w:val="21"/>
              </w:rPr>
            </w:pPr>
            <w:r>
              <w:rPr>
                <w:rFonts w:hint="eastAsia"/>
                <w:sz w:val="21"/>
                <w:szCs w:val="21"/>
              </w:rPr>
              <w:t>双侧眼球缺失</w:t>
            </w:r>
          </w:p>
        </w:tc>
        <w:tc>
          <w:tcPr>
            <w:tcW w:w="1099"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7230" w:type="dxa"/>
            <w:shd w:val="clear" w:color="auto" w:fill="auto"/>
          </w:tcPr>
          <w:p>
            <w:pPr>
              <w:pStyle w:val="42"/>
              <w:spacing w:line="360" w:lineRule="auto"/>
              <w:rPr>
                <w:sz w:val="21"/>
                <w:szCs w:val="21"/>
              </w:rPr>
            </w:pPr>
            <w:r>
              <w:rPr>
                <w:rFonts w:hint="eastAsia"/>
                <w:sz w:val="21"/>
                <w:szCs w:val="21"/>
              </w:rPr>
              <w:t>一侧眼球缺失，且另一侧眼盲目</w:t>
            </w:r>
            <w:r>
              <w:rPr>
                <w:sz w:val="21"/>
                <w:szCs w:val="21"/>
              </w:rPr>
              <w:t>5级</w:t>
            </w:r>
          </w:p>
        </w:tc>
        <w:tc>
          <w:tcPr>
            <w:tcW w:w="1099"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trPr>
        <w:tc>
          <w:tcPr>
            <w:tcW w:w="7230" w:type="dxa"/>
            <w:shd w:val="clear" w:color="auto" w:fill="auto"/>
          </w:tcPr>
          <w:p>
            <w:pPr>
              <w:pStyle w:val="42"/>
              <w:spacing w:line="360" w:lineRule="auto"/>
              <w:rPr>
                <w:sz w:val="21"/>
                <w:szCs w:val="21"/>
              </w:rPr>
            </w:pPr>
            <w:r>
              <w:rPr>
                <w:rFonts w:hint="eastAsia"/>
                <w:sz w:val="21"/>
                <w:szCs w:val="21"/>
              </w:rPr>
              <w:t>一侧眼球缺失，且另一侧眼盲目</w:t>
            </w:r>
            <w:r>
              <w:rPr>
                <w:sz w:val="21"/>
                <w:szCs w:val="21"/>
              </w:rPr>
              <w:t>4级</w:t>
            </w:r>
          </w:p>
        </w:tc>
        <w:tc>
          <w:tcPr>
            <w:tcW w:w="1099"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7230" w:type="dxa"/>
            <w:shd w:val="clear" w:color="auto" w:fill="auto"/>
          </w:tcPr>
          <w:p>
            <w:pPr>
              <w:pStyle w:val="42"/>
              <w:spacing w:line="360" w:lineRule="auto"/>
              <w:rPr>
                <w:sz w:val="21"/>
                <w:szCs w:val="21"/>
              </w:rPr>
            </w:pPr>
            <w:r>
              <w:rPr>
                <w:rFonts w:hint="eastAsia"/>
                <w:sz w:val="21"/>
                <w:szCs w:val="21"/>
              </w:rPr>
              <w:t>一侧眼球缺失，且另一侧眼盲目</w:t>
            </w:r>
            <w:r>
              <w:rPr>
                <w:sz w:val="21"/>
                <w:szCs w:val="21"/>
              </w:rPr>
              <w:t>3级</w:t>
            </w:r>
          </w:p>
        </w:tc>
        <w:tc>
          <w:tcPr>
            <w:tcW w:w="1099"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7230" w:type="dxa"/>
            <w:shd w:val="clear" w:color="auto" w:fill="auto"/>
          </w:tcPr>
          <w:p>
            <w:pPr>
              <w:pStyle w:val="42"/>
              <w:spacing w:line="360" w:lineRule="auto"/>
              <w:rPr>
                <w:sz w:val="21"/>
                <w:szCs w:val="21"/>
              </w:rPr>
            </w:pPr>
            <w:r>
              <w:rPr>
                <w:rFonts w:hint="eastAsia"/>
                <w:sz w:val="21"/>
                <w:szCs w:val="21"/>
              </w:rPr>
              <w:t>一侧眼球缺失，且另一侧眼低视力</w:t>
            </w:r>
            <w:r>
              <w:rPr>
                <w:sz w:val="21"/>
                <w:szCs w:val="21"/>
              </w:rPr>
              <w:t>2级</w:t>
            </w:r>
          </w:p>
        </w:tc>
        <w:tc>
          <w:tcPr>
            <w:tcW w:w="1099"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7230" w:type="dxa"/>
            <w:shd w:val="clear" w:color="auto" w:fill="auto"/>
          </w:tcPr>
          <w:p>
            <w:pPr>
              <w:pStyle w:val="42"/>
              <w:spacing w:line="360" w:lineRule="auto"/>
              <w:rPr>
                <w:sz w:val="21"/>
                <w:szCs w:val="21"/>
              </w:rPr>
            </w:pPr>
            <w:r>
              <w:rPr>
                <w:rFonts w:hint="eastAsia"/>
                <w:sz w:val="21"/>
                <w:szCs w:val="21"/>
              </w:rPr>
              <w:t>一侧眼球缺失，且另一侧眼低视力</w:t>
            </w:r>
            <w:r>
              <w:rPr>
                <w:sz w:val="21"/>
                <w:szCs w:val="21"/>
              </w:rPr>
              <w:t>1级</w:t>
            </w:r>
          </w:p>
        </w:tc>
        <w:tc>
          <w:tcPr>
            <w:tcW w:w="1099"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trPr>
        <w:tc>
          <w:tcPr>
            <w:tcW w:w="7230" w:type="dxa"/>
            <w:shd w:val="clear" w:color="auto" w:fill="auto"/>
          </w:tcPr>
          <w:p>
            <w:pPr>
              <w:pStyle w:val="42"/>
              <w:spacing w:line="360" w:lineRule="auto"/>
              <w:rPr>
                <w:sz w:val="21"/>
                <w:szCs w:val="21"/>
              </w:rPr>
            </w:pPr>
            <w:r>
              <w:rPr>
                <w:rFonts w:hint="eastAsia"/>
                <w:sz w:val="21"/>
                <w:szCs w:val="21"/>
              </w:rPr>
              <w:t>一侧眼球缺失</w:t>
            </w:r>
          </w:p>
        </w:tc>
        <w:tc>
          <w:tcPr>
            <w:tcW w:w="1099" w:type="dxa"/>
            <w:shd w:val="clear" w:color="auto" w:fill="auto"/>
            <w:vAlign w:val="center"/>
          </w:tcPr>
          <w:p>
            <w:pPr>
              <w:pStyle w:val="42"/>
              <w:spacing w:line="360" w:lineRule="auto"/>
              <w:jc w:val="center"/>
              <w:rPr>
                <w:sz w:val="21"/>
                <w:szCs w:val="21"/>
              </w:rPr>
            </w:pPr>
            <w:r>
              <w:rPr>
                <w:sz w:val="21"/>
                <w:szCs w:val="21"/>
              </w:rPr>
              <w:t>7级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6" w:name="_Toc356463469"/>
      <w:r>
        <w:rPr>
          <w:rFonts w:hint="eastAsia" w:ascii="宋体" w:hAnsi="宋体"/>
          <w:sz w:val="21"/>
          <w:szCs w:val="21"/>
        </w:rPr>
        <w:t>视功能障碍</w:t>
      </w:r>
      <w:bookmarkEnd w:id="6"/>
    </w:p>
    <w:p>
      <w:pPr>
        <w:spacing w:line="360" w:lineRule="auto"/>
        <w:ind w:firstLine="420" w:firstLineChars="200"/>
        <w:rPr>
          <w:rFonts w:ascii="宋体" w:hAnsi="宋体"/>
          <w:szCs w:val="21"/>
          <w:lang w:val="en-GB"/>
        </w:rPr>
      </w:pPr>
      <w:r>
        <w:rPr>
          <w:rFonts w:hint="eastAsia" w:ascii="宋体" w:hAnsi="宋体"/>
          <w:szCs w:val="21"/>
          <w:lang w:val="en-GB"/>
        </w:rPr>
        <w:t>除眼盲目和低视力外，本标准中的视功能障碍还包括视野缺损。</w:t>
      </w:r>
    </w:p>
    <w:tbl>
      <w:tblPr>
        <w:tblStyle w:val="17"/>
        <w:tblW w:w="8289" w:type="dxa"/>
        <w:jc w:val="center"/>
        <w:tblInd w:w="-1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双眼盲目</w:t>
            </w:r>
            <w:r>
              <w:rPr>
                <w:sz w:val="21"/>
                <w:szCs w:val="21"/>
              </w:rPr>
              <w:t>5级</w:t>
            </w:r>
          </w:p>
        </w:tc>
        <w:tc>
          <w:tcPr>
            <w:tcW w:w="1070"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双眼视野缺损，直径小于</w:t>
            </w:r>
            <w:r>
              <w:rPr>
                <w:sz w:val="21"/>
                <w:szCs w:val="21"/>
              </w:rPr>
              <w:t>5°</w:t>
            </w:r>
          </w:p>
        </w:tc>
        <w:tc>
          <w:tcPr>
            <w:tcW w:w="1070" w:type="dxa"/>
            <w:shd w:val="clear" w:color="auto" w:fill="auto"/>
            <w:vAlign w:val="center"/>
          </w:tcPr>
          <w:p>
            <w:pPr>
              <w:pStyle w:val="42"/>
              <w:spacing w:line="360" w:lineRule="auto"/>
              <w:jc w:val="center"/>
              <w:rPr>
                <w:sz w:val="21"/>
                <w:szCs w:val="21"/>
              </w:rPr>
            </w:pPr>
            <w:r>
              <w:rPr>
                <w:rFonts w:hint="eastAsia"/>
                <w:sz w:val="21"/>
                <w:szCs w:val="21"/>
              </w:rPr>
              <w:t>2</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双眼盲目大于等于</w:t>
            </w:r>
            <w:r>
              <w:rPr>
                <w:sz w:val="21"/>
                <w:szCs w:val="21"/>
              </w:rPr>
              <w:t>4级</w:t>
            </w:r>
          </w:p>
        </w:tc>
        <w:tc>
          <w:tcPr>
            <w:tcW w:w="1070"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双眼视野缺损，直径小于</w:t>
            </w:r>
            <w:r>
              <w:rPr>
                <w:sz w:val="21"/>
                <w:szCs w:val="21"/>
              </w:rPr>
              <w:t>10°</w:t>
            </w:r>
          </w:p>
        </w:tc>
        <w:tc>
          <w:tcPr>
            <w:tcW w:w="1070" w:type="dxa"/>
            <w:shd w:val="clear" w:color="auto" w:fill="auto"/>
            <w:vAlign w:val="center"/>
          </w:tcPr>
          <w:p>
            <w:pPr>
              <w:pStyle w:val="42"/>
              <w:spacing w:line="360" w:lineRule="auto"/>
              <w:jc w:val="center"/>
              <w:rPr>
                <w:sz w:val="21"/>
                <w:szCs w:val="21"/>
              </w:rPr>
            </w:pPr>
            <w:r>
              <w:rPr>
                <w:rFonts w:hint="eastAsia"/>
                <w:sz w:val="21"/>
                <w:szCs w:val="21"/>
              </w:rPr>
              <w:t>3</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双眼盲目大于等于</w:t>
            </w:r>
            <w:r>
              <w:rPr>
                <w:sz w:val="21"/>
                <w:szCs w:val="21"/>
              </w:rPr>
              <w:t>3级</w:t>
            </w:r>
          </w:p>
        </w:tc>
        <w:tc>
          <w:tcPr>
            <w:tcW w:w="1070"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双眼视野缺损，直径小于</w:t>
            </w:r>
            <w:r>
              <w:rPr>
                <w:sz w:val="21"/>
                <w:szCs w:val="21"/>
              </w:rPr>
              <w:t>20°</w:t>
            </w:r>
          </w:p>
        </w:tc>
        <w:tc>
          <w:tcPr>
            <w:tcW w:w="1070" w:type="dxa"/>
            <w:shd w:val="clear" w:color="auto" w:fill="auto"/>
            <w:vAlign w:val="center"/>
          </w:tcPr>
          <w:p>
            <w:pPr>
              <w:pStyle w:val="42"/>
              <w:spacing w:line="360" w:lineRule="auto"/>
              <w:jc w:val="center"/>
              <w:rPr>
                <w:sz w:val="21"/>
                <w:szCs w:val="21"/>
              </w:rPr>
            </w:pPr>
            <w:r>
              <w:rPr>
                <w:rFonts w:hint="eastAsia"/>
                <w:sz w:val="21"/>
                <w:szCs w:val="21"/>
              </w:rPr>
              <w:t>4</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双眼低视力大于等于</w:t>
            </w:r>
            <w:r>
              <w:rPr>
                <w:sz w:val="21"/>
                <w:szCs w:val="21"/>
              </w:rPr>
              <w:t>2级</w:t>
            </w:r>
          </w:p>
        </w:tc>
        <w:tc>
          <w:tcPr>
            <w:tcW w:w="1070"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双眼低视力大于等于</w:t>
            </w:r>
            <w:r>
              <w:rPr>
                <w:sz w:val="21"/>
                <w:szCs w:val="21"/>
              </w:rPr>
              <w:t>1级</w:t>
            </w:r>
          </w:p>
        </w:tc>
        <w:tc>
          <w:tcPr>
            <w:tcW w:w="1070"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双眼视野缺损，直径小于</w:t>
            </w:r>
            <w:r>
              <w:rPr>
                <w:sz w:val="21"/>
                <w:szCs w:val="21"/>
              </w:rPr>
              <w:t>60°</w:t>
            </w:r>
          </w:p>
        </w:tc>
        <w:tc>
          <w:tcPr>
            <w:tcW w:w="1070"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一眼盲目</w:t>
            </w:r>
            <w:r>
              <w:rPr>
                <w:sz w:val="21"/>
                <w:szCs w:val="21"/>
              </w:rPr>
              <w:t>5级</w:t>
            </w:r>
          </w:p>
        </w:tc>
        <w:tc>
          <w:tcPr>
            <w:tcW w:w="1070"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一眼视野缺损，直径小于</w:t>
            </w:r>
            <w:r>
              <w:rPr>
                <w:sz w:val="21"/>
                <w:szCs w:val="21"/>
              </w:rPr>
              <w:t>5°</w:t>
            </w:r>
          </w:p>
        </w:tc>
        <w:tc>
          <w:tcPr>
            <w:tcW w:w="1070"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一眼盲目大于等于</w:t>
            </w:r>
            <w:r>
              <w:rPr>
                <w:sz w:val="21"/>
                <w:szCs w:val="21"/>
              </w:rPr>
              <w:t>4级</w:t>
            </w:r>
          </w:p>
        </w:tc>
        <w:tc>
          <w:tcPr>
            <w:tcW w:w="1070"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一眼视野缺损，直径小于</w:t>
            </w:r>
            <w:r>
              <w:rPr>
                <w:sz w:val="21"/>
                <w:szCs w:val="21"/>
              </w:rPr>
              <w:t>10°</w:t>
            </w:r>
          </w:p>
        </w:tc>
        <w:tc>
          <w:tcPr>
            <w:tcW w:w="1070"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一眼盲目大于等于</w:t>
            </w:r>
            <w:r>
              <w:rPr>
                <w:sz w:val="21"/>
                <w:szCs w:val="21"/>
              </w:rPr>
              <w:t>3级</w:t>
            </w:r>
          </w:p>
        </w:tc>
        <w:tc>
          <w:tcPr>
            <w:tcW w:w="1070"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一眼视野缺损，直径小于</w:t>
            </w:r>
            <w:r>
              <w:rPr>
                <w:sz w:val="21"/>
                <w:szCs w:val="21"/>
              </w:rPr>
              <w:t>20°</w:t>
            </w:r>
          </w:p>
        </w:tc>
        <w:tc>
          <w:tcPr>
            <w:tcW w:w="1070"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一眼低视力大于等于</w:t>
            </w:r>
            <w:r>
              <w:rPr>
                <w:sz w:val="21"/>
                <w:szCs w:val="21"/>
              </w:rPr>
              <w:t>1级。</w:t>
            </w:r>
          </w:p>
        </w:tc>
        <w:tc>
          <w:tcPr>
            <w:tcW w:w="1070"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一眼视野缺损，直径小于</w:t>
            </w:r>
            <w:r>
              <w:rPr>
                <w:sz w:val="21"/>
                <w:szCs w:val="21"/>
              </w:rPr>
              <w:t>60°</w:t>
            </w:r>
          </w:p>
        </w:tc>
        <w:tc>
          <w:tcPr>
            <w:tcW w:w="1070" w:type="dxa"/>
            <w:shd w:val="clear" w:color="auto" w:fill="auto"/>
            <w:vAlign w:val="center"/>
          </w:tcPr>
          <w:p>
            <w:pPr>
              <w:pStyle w:val="42"/>
              <w:spacing w:line="360" w:lineRule="auto"/>
              <w:jc w:val="center"/>
              <w:rPr>
                <w:sz w:val="21"/>
                <w:szCs w:val="21"/>
              </w:rPr>
            </w:pPr>
            <w:r>
              <w:rPr>
                <w:sz w:val="21"/>
                <w:szCs w:val="21"/>
              </w:rPr>
              <w:t>10级</w:t>
            </w:r>
          </w:p>
        </w:tc>
      </w:tr>
    </w:tbl>
    <w:p>
      <w:pPr>
        <w:pStyle w:val="40"/>
        <w:spacing w:line="360" w:lineRule="auto"/>
        <w:rPr>
          <w:rFonts w:ascii="宋体" w:hAnsi="宋体" w:eastAsia="宋体"/>
          <w:sz w:val="21"/>
          <w:szCs w:val="21"/>
        </w:rPr>
      </w:pPr>
      <w:r>
        <w:rPr>
          <w:rFonts w:hint="eastAsia" w:ascii="宋体" w:hAnsi="宋体" w:eastAsia="宋体"/>
          <w:sz w:val="21"/>
          <w:szCs w:val="21"/>
          <w:lang w:val="en-GB"/>
        </w:rPr>
        <w:t>注：</w:t>
      </w:r>
      <w:r>
        <w:rPr>
          <w:rFonts w:ascii="宋体" w:hAnsi="宋体" w:eastAsia="宋体"/>
          <w:sz w:val="21"/>
          <w:szCs w:val="21"/>
          <w:lang w:val="en-GB"/>
        </w:rPr>
        <w:fldChar w:fldCharType="begin"/>
      </w:r>
      <w:r>
        <w:rPr>
          <w:rFonts w:ascii="宋体" w:hAnsi="宋体" w:eastAsia="宋体"/>
          <w:sz w:val="21"/>
          <w:szCs w:val="21"/>
          <w:lang w:val="en-GB"/>
        </w:rPr>
        <w:instrText xml:space="preserve"> = 1 \* GB3 </w:instrText>
      </w:r>
      <w:r>
        <w:rPr>
          <w:rFonts w:ascii="宋体" w:hAnsi="宋体" w:eastAsia="宋体"/>
          <w:sz w:val="21"/>
          <w:szCs w:val="21"/>
          <w:lang w:val="en-GB"/>
        </w:rPr>
        <w:fldChar w:fldCharType="separate"/>
      </w:r>
      <w:r>
        <w:rPr>
          <w:rFonts w:hint="eastAsia" w:ascii="宋体" w:hAnsi="宋体" w:eastAsia="宋体"/>
          <w:sz w:val="21"/>
          <w:szCs w:val="21"/>
          <w:lang w:val="en-GB"/>
        </w:rPr>
        <w:t>①</w:t>
      </w:r>
      <w:r>
        <w:rPr>
          <w:rFonts w:ascii="宋体" w:hAnsi="宋体" w:eastAsia="宋体"/>
          <w:sz w:val="21"/>
          <w:szCs w:val="21"/>
          <w:lang w:val="en-GB"/>
        </w:rPr>
        <w:fldChar w:fldCharType="end"/>
      </w:r>
      <w:r>
        <w:rPr>
          <w:rFonts w:hint="eastAsia" w:ascii="宋体" w:hAnsi="宋体" w:eastAsia="宋体"/>
          <w:sz w:val="21"/>
          <w:szCs w:val="21"/>
        </w:rPr>
        <w:t>视力和视野</w:t>
      </w:r>
    </w:p>
    <w:tbl>
      <w:tblPr>
        <w:tblStyle w:val="17"/>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772"/>
        <w:gridCol w:w="2552"/>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548" w:type="dxa"/>
            <w:gridSpan w:val="2"/>
            <w:vMerge w:val="restart"/>
            <w:shd w:val="clear" w:color="auto" w:fill="auto"/>
            <w:vAlign w:val="center"/>
          </w:tcPr>
          <w:p>
            <w:pPr>
              <w:pStyle w:val="40"/>
              <w:spacing w:line="360" w:lineRule="auto"/>
              <w:jc w:val="center"/>
              <w:rPr>
                <w:rFonts w:ascii="宋体" w:hAnsi="宋体" w:eastAsia="宋体"/>
                <w:sz w:val="21"/>
                <w:szCs w:val="21"/>
              </w:rPr>
            </w:pPr>
            <w:r>
              <w:rPr>
                <w:rFonts w:hint="eastAsia" w:ascii="宋体" w:hAnsi="宋体" w:eastAsia="宋体"/>
                <w:sz w:val="21"/>
                <w:szCs w:val="21"/>
              </w:rPr>
              <w:t>级别</w:t>
            </w:r>
          </w:p>
        </w:tc>
        <w:tc>
          <w:tcPr>
            <w:tcW w:w="5774" w:type="dxa"/>
            <w:gridSpan w:val="2"/>
            <w:shd w:val="clear" w:color="auto" w:fill="auto"/>
          </w:tcPr>
          <w:p>
            <w:pPr>
              <w:pStyle w:val="40"/>
              <w:spacing w:line="360" w:lineRule="auto"/>
              <w:jc w:val="center"/>
              <w:rPr>
                <w:rFonts w:ascii="宋体" w:hAnsi="宋体" w:eastAsia="宋体"/>
                <w:sz w:val="21"/>
                <w:szCs w:val="21"/>
              </w:rPr>
            </w:pPr>
            <w:r>
              <w:rPr>
                <w:rFonts w:hint="eastAsia" w:ascii="宋体" w:hAnsi="宋体" w:eastAsia="宋体"/>
                <w:sz w:val="21"/>
                <w:szCs w:val="21"/>
              </w:rPr>
              <w:t>低视力及盲目分级标准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2548" w:type="dxa"/>
            <w:gridSpan w:val="2"/>
            <w:vMerge w:val="continue"/>
            <w:shd w:val="clear" w:color="auto" w:fill="auto"/>
          </w:tcPr>
          <w:p>
            <w:pPr>
              <w:pStyle w:val="40"/>
              <w:spacing w:line="360" w:lineRule="auto"/>
              <w:jc w:val="center"/>
              <w:rPr>
                <w:rFonts w:ascii="宋体" w:hAnsi="宋体" w:eastAsia="宋体"/>
                <w:sz w:val="21"/>
                <w:szCs w:val="21"/>
              </w:rPr>
            </w:pPr>
          </w:p>
        </w:tc>
        <w:tc>
          <w:tcPr>
            <w:tcW w:w="5774" w:type="dxa"/>
            <w:gridSpan w:val="2"/>
            <w:shd w:val="clear" w:color="auto" w:fill="auto"/>
          </w:tcPr>
          <w:p>
            <w:pPr>
              <w:pStyle w:val="40"/>
              <w:spacing w:line="360" w:lineRule="auto"/>
              <w:jc w:val="center"/>
              <w:rPr>
                <w:rFonts w:ascii="宋体" w:hAnsi="宋体" w:eastAsia="宋体"/>
                <w:sz w:val="21"/>
                <w:szCs w:val="21"/>
              </w:rPr>
            </w:pPr>
            <w:r>
              <w:rPr>
                <w:rFonts w:hint="eastAsia" w:ascii="宋体" w:hAnsi="宋体" w:eastAsia="宋体"/>
                <w:sz w:val="21"/>
                <w:szCs w:val="21"/>
              </w:rPr>
              <w:t>最好矫正视力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548" w:type="dxa"/>
            <w:gridSpan w:val="2"/>
            <w:vMerge w:val="continue"/>
            <w:shd w:val="clear" w:color="auto" w:fill="auto"/>
          </w:tcPr>
          <w:p>
            <w:pPr>
              <w:pStyle w:val="40"/>
              <w:spacing w:line="360" w:lineRule="auto"/>
              <w:jc w:val="center"/>
              <w:rPr>
                <w:rFonts w:ascii="宋体" w:hAnsi="宋体" w:eastAsia="宋体"/>
                <w:sz w:val="21"/>
                <w:szCs w:val="21"/>
              </w:rPr>
            </w:pPr>
          </w:p>
        </w:tc>
        <w:tc>
          <w:tcPr>
            <w:tcW w:w="2552" w:type="dxa"/>
            <w:shd w:val="clear" w:color="auto" w:fill="auto"/>
          </w:tcPr>
          <w:p>
            <w:pPr>
              <w:pStyle w:val="40"/>
              <w:spacing w:line="360" w:lineRule="auto"/>
              <w:jc w:val="center"/>
              <w:rPr>
                <w:rFonts w:ascii="宋体" w:hAnsi="宋体" w:eastAsia="宋体"/>
                <w:sz w:val="21"/>
                <w:szCs w:val="21"/>
              </w:rPr>
            </w:pPr>
            <w:r>
              <w:rPr>
                <w:rFonts w:hint="eastAsia" w:ascii="宋体" w:hAnsi="宋体" w:eastAsia="宋体"/>
                <w:sz w:val="21"/>
                <w:szCs w:val="21"/>
              </w:rPr>
              <w:t>最好矫正视力低于</w:t>
            </w:r>
          </w:p>
        </w:tc>
        <w:tc>
          <w:tcPr>
            <w:tcW w:w="3222" w:type="dxa"/>
            <w:shd w:val="clear" w:color="auto" w:fill="auto"/>
          </w:tcPr>
          <w:p>
            <w:pPr>
              <w:pStyle w:val="40"/>
              <w:spacing w:line="360" w:lineRule="auto"/>
              <w:jc w:val="center"/>
              <w:rPr>
                <w:rFonts w:ascii="宋体" w:hAnsi="宋体" w:eastAsia="宋体"/>
                <w:sz w:val="21"/>
                <w:szCs w:val="21"/>
              </w:rPr>
            </w:pPr>
            <w:r>
              <w:rPr>
                <w:rFonts w:hint="eastAsia" w:ascii="宋体" w:hAnsi="宋体" w:eastAsia="宋体"/>
                <w:sz w:val="21"/>
                <w:szCs w:val="21"/>
              </w:rPr>
              <w:t>最低矫正视力等于或优于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restart"/>
            <w:shd w:val="clear" w:color="auto" w:fill="auto"/>
            <w:vAlign w:val="center"/>
          </w:tcPr>
          <w:p>
            <w:pPr>
              <w:pStyle w:val="40"/>
              <w:spacing w:line="360" w:lineRule="auto"/>
              <w:jc w:val="center"/>
              <w:rPr>
                <w:rFonts w:ascii="宋体" w:hAnsi="宋体" w:eastAsia="宋体"/>
                <w:sz w:val="21"/>
                <w:szCs w:val="21"/>
              </w:rPr>
            </w:pPr>
            <w:r>
              <w:rPr>
                <w:rFonts w:hint="eastAsia" w:ascii="宋体" w:hAnsi="宋体" w:eastAsia="宋体"/>
                <w:sz w:val="21"/>
                <w:szCs w:val="21"/>
              </w:rPr>
              <w:t>低视力</w:t>
            </w:r>
          </w:p>
        </w:tc>
        <w:tc>
          <w:tcPr>
            <w:tcW w:w="77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1</w:t>
            </w:r>
          </w:p>
        </w:tc>
        <w:tc>
          <w:tcPr>
            <w:tcW w:w="255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0.3</w:t>
            </w:r>
          </w:p>
        </w:tc>
        <w:tc>
          <w:tcPr>
            <w:tcW w:w="322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776" w:type="dxa"/>
            <w:vMerge w:val="continue"/>
            <w:shd w:val="clear" w:color="auto" w:fill="auto"/>
          </w:tcPr>
          <w:p>
            <w:pPr>
              <w:pStyle w:val="40"/>
              <w:spacing w:line="360" w:lineRule="auto"/>
              <w:jc w:val="center"/>
              <w:rPr>
                <w:rFonts w:ascii="宋体" w:hAnsi="宋体" w:eastAsia="宋体"/>
                <w:sz w:val="21"/>
                <w:szCs w:val="21"/>
              </w:rPr>
            </w:pPr>
          </w:p>
        </w:tc>
        <w:tc>
          <w:tcPr>
            <w:tcW w:w="77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2</w:t>
            </w:r>
          </w:p>
        </w:tc>
        <w:tc>
          <w:tcPr>
            <w:tcW w:w="255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0.1</w:t>
            </w:r>
          </w:p>
        </w:tc>
        <w:tc>
          <w:tcPr>
            <w:tcW w:w="322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0.05（三米指数）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 w:hRule="atLeast"/>
          <w:jc w:val="center"/>
        </w:trPr>
        <w:tc>
          <w:tcPr>
            <w:tcW w:w="1776" w:type="dxa"/>
            <w:vMerge w:val="restart"/>
            <w:shd w:val="clear" w:color="auto" w:fill="auto"/>
            <w:vAlign w:val="center"/>
          </w:tcPr>
          <w:p>
            <w:pPr>
              <w:pStyle w:val="40"/>
              <w:spacing w:line="360" w:lineRule="auto"/>
              <w:jc w:val="center"/>
              <w:rPr>
                <w:rFonts w:ascii="宋体" w:hAnsi="宋体" w:eastAsia="宋体"/>
                <w:sz w:val="21"/>
                <w:szCs w:val="21"/>
              </w:rPr>
            </w:pPr>
            <w:r>
              <w:rPr>
                <w:rFonts w:hint="eastAsia" w:ascii="宋体" w:hAnsi="宋体" w:eastAsia="宋体"/>
                <w:sz w:val="21"/>
                <w:szCs w:val="21"/>
              </w:rPr>
              <w:t>盲目</w:t>
            </w:r>
          </w:p>
        </w:tc>
        <w:tc>
          <w:tcPr>
            <w:tcW w:w="77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3</w:t>
            </w:r>
          </w:p>
        </w:tc>
        <w:tc>
          <w:tcPr>
            <w:tcW w:w="255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0.05</w:t>
            </w:r>
          </w:p>
        </w:tc>
        <w:tc>
          <w:tcPr>
            <w:tcW w:w="322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0.02（一米指数）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continue"/>
            <w:shd w:val="clear" w:color="auto" w:fill="auto"/>
          </w:tcPr>
          <w:p>
            <w:pPr>
              <w:pStyle w:val="40"/>
              <w:spacing w:line="360" w:lineRule="auto"/>
              <w:jc w:val="center"/>
              <w:rPr>
                <w:rFonts w:ascii="宋体" w:hAnsi="宋体" w:eastAsia="宋体"/>
                <w:sz w:val="21"/>
                <w:szCs w:val="21"/>
              </w:rPr>
            </w:pPr>
          </w:p>
        </w:tc>
        <w:tc>
          <w:tcPr>
            <w:tcW w:w="77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4</w:t>
            </w:r>
          </w:p>
        </w:tc>
        <w:tc>
          <w:tcPr>
            <w:tcW w:w="255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0.02</w:t>
            </w:r>
          </w:p>
        </w:tc>
        <w:tc>
          <w:tcPr>
            <w:tcW w:w="3222" w:type="dxa"/>
            <w:shd w:val="clear" w:color="auto" w:fill="auto"/>
          </w:tcPr>
          <w:p>
            <w:pPr>
              <w:pStyle w:val="40"/>
              <w:spacing w:line="360" w:lineRule="auto"/>
              <w:jc w:val="center"/>
              <w:rPr>
                <w:rFonts w:ascii="宋体" w:hAnsi="宋体" w:eastAsia="宋体"/>
                <w:sz w:val="21"/>
                <w:szCs w:val="21"/>
              </w:rPr>
            </w:pPr>
            <w:r>
              <w:rPr>
                <w:rFonts w:hint="eastAsia" w:ascii="宋体" w:hAnsi="宋体" w:eastAsia="宋体"/>
                <w:sz w:val="21"/>
                <w:szCs w:val="21"/>
              </w:rPr>
              <w:t>光感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776" w:type="dxa"/>
            <w:vMerge w:val="continue"/>
            <w:shd w:val="clear" w:color="auto" w:fill="auto"/>
          </w:tcPr>
          <w:p>
            <w:pPr>
              <w:pStyle w:val="40"/>
              <w:spacing w:line="360" w:lineRule="auto"/>
              <w:jc w:val="center"/>
              <w:rPr>
                <w:rFonts w:ascii="宋体" w:hAnsi="宋体" w:eastAsia="宋体"/>
                <w:sz w:val="21"/>
                <w:szCs w:val="21"/>
              </w:rPr>
            </w:pPr>
          </w:p>
        </w:tc>
        <w:tc>
          <w:tcPr>
            <w:tcW w:w="772" w:type="dxa"/>
            <w:shd w:val="clear" w:color="auto" w:fill="auto"/>
          </w:tcPr>
          <w:p>
            <w:pPr>
              <w:pStyle w:val="40"/>
              <w:spacing w:line="360" w:lineRule="auto"/>
              <w:jc w:val="center"/>
              <w:rPr>
                <w:rFonts w:ascii="宋体" w:hAnsi="宋体" w:eastAsia="宋体"/>
                <w:sz w:val="21"/>
                <w:szCs w:val="21"/>
              </w:rPr>
            </w:pPr>
            <w:r>
              <w:rPr>
                <w:rFonts w:ascii="宋体" w:hAnsi="宋体" w:eastAsia="宋体"/>
                <w:sz w:val="21"/>
                <w:szCs w:val="21"/>
              </w:rPr>
              <w:t>5</w:t>
            </w:r>
          </w:p>
        </w:tc>
        <w:tc>
          <w:tcPr>
            <w:tcW w:w="5774" w:type="dxa"/>
            <w:gridSpan w:val="2"/>
            <w:shd w:val="clear" w:color="auto" w:fill="auto"/>
          </w:tcPr>
          <w:p>
            <w:pPr>
              <w:pStyle w:val="40"/>
              <w:spacing w:line="360" w:lineRule="auto"/>
              <w:jc w:val="center"/>
              <w:rPr>
                <w:rFonts w:ascii="宋体" w:hAnsi="宋体" w:eastAsia="宋体"/>
                <w:sz w:val="21"/>
                <w:szCs w:val="21"/>
              </w:rPr>
            </w:pPr>
            <w:r>
              <w:rPr>
                <w:rFonts w:hint="eastAsia" w:ascii="宋体" w:hAnsi="宋体" w:eastAsia="宋体"/>
                <w:sz w:val="21"/>
                <w:szCs w:val="21"/>
              </w:rPr>
              <w:t>无光感</w:t>
            </w:r>
          </w:p>
        </w:tc>
      </w:tr>
    </w:tbl>
    <w:p>
      <w:pPr>
        <w:pStyle w:val="40"/>
        <w:spacing w:line="360" w:lineRule="auto"/>
        <w:ind w:firstLine="420" w:firstLineChars="200"/>
        <w:rPr>
          <w:rFonts w:ascii="宋体" w:hAnsi="宋体" w:eastAsia="宋体"/>
          <w:sz w:val="21"/>
          <w:szCs w:val="21"/>
        </w:rPr>
      </w:pPr>
      <w:r>
        <w:rPr>
          <w:rFonts w:hint="eastAsia" w:ascii="宋体" w:hAnsi="宋体" w:eastAsia="宋体"/>
          <w:sz w:val="21"/>
          <w:szCs w:val="21"/>
        </w:rPr>
        <w:t>如果中心视力好而视野缩小，以中央注视点为中心，视野直径小于</w:t>
      </w:r>
      <w:r>
        <w:rPr>
          <w:rFonts w:ascii="宋体" w:hAnsi="宋体" w:eastAsia="宋体"/>
          <w:sz w:val="21"/>
          <w:szCs w:val="21"/>
        </w:rPr>
        <w:t>20°而大于10°者为</w:t>
      </w:r>
      <w:r>
        <w:rPr>
          <w:rFonts w:hint="eastAsia" w:ascii="宋体" w:hAnsi="宋体" w:eastAsia="宋体"/>
          <w:sz w:val="21"/>
          <w:szCs w:val="21"/>
        </w:rPr>
        <w:t>盲目</w:t>
      </w:r>
      <w:r>
        <w:rPr>
          <w:rFonts w:ascii="宋体" w:hAnsi="宋体" w:eastAsia="宋体"/>
          <w:sz w:val="21"/>
          <w:szCs w:val="21"/>
        </w:rPr>
        <w:t>3级；如直径小于10°者为</w:t>
      </w:r>
      <w:r>
        <w:rPr>
          <w:rFonts w:hint="eastAsia" w:ascii="宋体" w:hAnsi="宋体" w:eastAsia="宋体"/>
          <w:sz w:val="21"/>
          <w:szCs w:val="21"/>
        </w:rPr>
        <w:t>盲目</w:t>
      </w:r>
      <w:r>
        <w:rPr>
          <w:rFonts w:ascii="宋体" w:hAnsi="宋体" w:eastAsia="宋体"/>
          <w:sz w:val="21"/>
          <w:szCs w:val="21"/>
        </w:rPr>
        <w:t>4级。</w:t>
      </w:r>
    </w:p>
    <w:p>
      <w:pPr>
        <w:pStyle w:val="40"/>
        <w:spacing w:line="360" w:lineRule="auto"/>
        <w:ind w:firstLine="360"/>
        <w:rPr>
          <w:rFonts w:ascii="宋体" w:hAnsi="宋体" w:eastAsia="宋体"/>
          <w:sz w:val="21"/>
          <w:szCs w:val="21"/>
        </w:rPr>
      </w:pPr>
      <w:r>
        <w:rPr>
          <w:rFonts w:hint="eastAsia" w:ascii="宋体" w:hAnsi="宋体" w:eastAsia="宋体"/>
          <w:sz w:val="21"/>
          <w:szCs w:val="21"/>
        </w:rPr>
        <w:t>本标准视力以矫正视力为准，经治疗而无法恢复者。</w:t>
      </w:r>
    </w:p>
    <w:p>
      <w:pPr>
        <w:pStyle w:val="40"/>
        <w:spacing w:line="360" w:lineRule="auto"/>
        <w:ind w:firstLine="420" w:firstLineChars="200"/>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eq \o\ac(○,2)</w:instrText>
      </w:r>
      <w:r>
        <w:rPr>
          <w:rFonts w:ascii="宋体" w:hAnsi="宋体" w:eastAsia="宋体"/>
          <w:sz w:val="21"/>
          <w:szCs w:val="21"/>
        </w:rPr>
        <w:fldChar w:fldCharType="end"/>
      </w:r>
      <w:r>
        <w:rPr>
          <w:rFonts w:hint="eastAsia" w:ascii="宋体" w:hAnsi="宋体" w:eastAsia="宋体"/>
          <w:sz w:val="21"/>
          <w:szCs w:val="21"/>
        </w:rPr>
        <w:t>视野缺损指因损伤导致眼球注视前方而不转动所能看到的空间范围缩窄，以致难以从事正常工作、学习或其他活动。</w:t>
      </w: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7" w:name="_Toc356463470"/>
      <w:r>
        <w:rPr>
          <w:rFonts w:hint="eastAsia" w:ascii="宋体" w:hAnsi="宋体"/>
          <w:sz w:val="21"/>
          <w:szCs w:val="21"/>
        </w:rPr>
        <w:t>眼球的晶状体结构损伤</w:t>
      </w:r>
      <w:bookmarkEnd w:id="7"/>
      <w:r>
        <w:rPr>
          <w:rFonts w:ascii="宋体" w:hAnsi="宋体"/>
          <w:sz w:val="21"/>
          <w:szCs w:val="21"/>
        </w:rPr>
        <w:t xml:space="preserve">  </w:t>
      </w:r>
    </w:p>
    <w:tbl>
      <w:tblPr>
        <w:tblStyle w:val="17"/>
        <w:tblW w:w="8289" w:type="dxa"/>
        <w:jc w:val="center"/>
        <w:tblInd w:w="-1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219" w:type="dxa"/>
            <w:shd w:val="clear" w:color="auto" w:fill="auto"/>
            <w:vAlign w:val="center"/>
          </w:tcPr>
          <w:p>
            <w:pPr>
              <w:pStyle w:val="42"/>
              <w:spacing w:line="360" w:lineRule="auto"/>
              <w:rPr>
                <w:sz w:val="21"/>
                <w:szCs w:val="21"/>
              </w:rPr>
            </w:pPr>
            <w:r>
              <w:rPr>
                <w:rFonts w:hint="eastAsia"/>
                <w:sz w:val="21"/>
                <w:szCs w:val="21"/>
              </w:rPr>
              <w:t>外伤性白内障</w:t>
            </w:r>
          </w:p>
        </w:tc>
        <w:tc>
          <w:tcPr>
            <w:tcW w:w="1070" w:type="dxa"/>
            <w:shd w:val="clear" w:color="auto" w:fill="auto"/>
            <w:vAlign w:val="center"/>
          </w:tcPr>
          <w:p>
            <w:pPr>
              <w:pStyle w:val="42"/>
              <w:spacing w:line="360" w:lineRule="auto"/>
              <w:jc w:val="center"/>
              <w:rPr>
                <w:sz w:val="21"/>
                <w:szCs w:val="21"/>
              </w:rPr>
            </w:pPr>
            <w:r>
              <w:rPr>
                <w:sz w:val="21"/>
                <w:szCs w:val="21"/>
              </w:rPr>
              <w:t>10级</w:t>
            </w:r>
          </w:p>
        </w:tc>
      </w:tr>
    </w:tbl>
    <w:p>
      <w:pPr>
        <w:pStyle w:val="40"/>
        <w:spacing w:line="360" w:lineRule="auto"/>
        <w:rPr>
          <w:rFonts w:hint="eastAsia" w:ascii="宋体" w:hAnsi="宋体" w:eastAsia="宋体"/>
          <w:sz w:val="21"/>
          <w:szCs w:val="21"/>
        </w:rPr>
      </w:pPr>
      <w:r>
        <w:rPr>
          <w:rFonts w:hint="eastAsia" w:ascii="宋体" w:hAnsi="宋体" w:eastAsia="宋体"/>
          <w:sz w:val="21"/>
          <w:szCs w:val="21"/>
        </w:rPr>
        <w:t>注：外伤性白内障：凡未做手术者，均适用本条；外伤性白内障术后遗留相关视功能障碍，参照有关条款评定伤残等级。</w:t>
      </w: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8" w:name="_Toc356463471"/>
      <w:r>
        <w:rPr>
          <w:rFonts w:hint="eastAsia" w:ascii="宋体" w:hAnsi="宋体"/>
          <w:sz w:val="21"/>
          <w:szCs w:val="21"/>
        </w:rPr>
        <w:t>眼睑结构损伤</w:t>
      </w:r>
      <w:bookmarkEnd w:id="8"/>
    </w:p>
    <w:tbl>
      <w:tblPr>
        <w:tblStyle w:val="17"/>
        <w:tblW w:w="8359" w:type="dxa"/>
        <w:jc w:val="center"/>
        <w:tblInd w:w="-1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4"/>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jc w:val="center"/>
        </w:trPr>
        <w:tc>
          <w:tcPr>
            <w:tcW w:w="7254" w:type="dxa"/>
            <w:shd w:val="clear" w:color="auto" w:fill="auto"/>
            <w:vAlign w:val="center"/>
          </w:tcPr>
          <w:p>
            <w:pPr>
              <w:pStyle w:val="42"/>
              <w:spacing w:line="360" w:lineRule="auto"/>
              <w:rPr>
                <w:sz w:val="21"/>
                <w:szCs w:val="21"/>
              </w:rPr>
            </w:pPr>
            <w:bookmarkStart w:id="9" w:name="OLE_LINK7"/>
            <w:bookmarkStart w:id="10" w:name="OLE_LINK8"/>
            <w:r>
              <w:rPr>
                <w:rFonts w:hint="eastAsia"/>
                <w:sz w:val="21"/>
                <w:szCs w:val="21"/>
              </w:rPr>
              <w:t>双侧眼睑显著缺损</w:t>
            </w:r>
            <w:bookmarkEnd w:id="9"/>
            <w:bookmarkEnd w:id="10"/>
          </w:p>
        </w:tc>
        <w:tc>
          <w:tcPr>
            <w:tcW w:w="1105"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jc w:val="center"/>
        </w:trPr>
        <w:tc>
          <w:tcPr>
            <w:tcW w:w="7254" w:type="dxa"/>
            <w:shd w:val="clear" w:color="auto" w:fill="auto"/>
            <w:vAlign w:val="center"/>
          </w:tcPr>
          <w:p>
            <w:pPr>
              <w:pStyle w:val="42"/>
              <w:spacing w:line="360" w:lineRule="auto"/>
              <w:rPr>
                <w:sz w:val="21"/>
                <w:szCs w:val="21"/>
              </w:rPr>
            </w:pPr>
            <w:r>
              <w:rPr>
                <w:rFonts w:hint="eastAsia"/>
                <w:sz w:val="21"/>
                <w:szCs w:val="21"/>
              </w:rPr>
              <w:t>双侧眼睑外翻</w:t>
            </w:r>
          </w:p>
        </w:tc>
        <w:tc>
          <w:tcPr>
            <w:tcW w:w="1105"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jc w:val="center"/>
        </w:trPr>
        <w:tc>
          <w:tcPr>
            <w:tcW w:w="7254" w:type="dxa"/>
            <w:shd w:val="clear" w:color="auto" w:fill="auto"/>
            <w:vAlign w:val="center"/>
          </w:tcPr>
          <w:p>
            <w:pPr>
              <w:pStyle w:val="42"/>
              <w:spacing w:line="360" w:lineRule="auto"/>
              <w:rPr>
                <w:sz w:val="21"/>
                <w:szCs w:val="21"/>
              </w:rPr>
            </w:pPr>
            <w:r>
              <w:rPr>
                <w:rFonts w:hint="eastAsia"/>
                <w:sz w:val="21"/>
                <w:szCs w:val="21"/>
              </w:rPr>
              <w:t>双侧眼睑闭合不全</w:t>
            </w:r>
          </w:p>
        </w:tc>
        <w:tc>
          <w:tcPr>
            <w:tcW w:w="1105"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54" w:type="dxa"/>
            <w:shd w:val="clear" w:color="auto" w:fill="auto"/>
            <w:vAlign w:val="center"/>
          </w:tcPr>
          <w:p>
            <w:pPr>
              <w:pStyle w:val="42"/>
              <w:spacing w:line="360" w:lineRule="auto"/>
              <w:rPr>
                <w:sz w:val="21"/>
                <w:szCs w:val="21"/>
              </w:rPr>
            </w:pPr>
            <w:r>
              <w:rPr>
                <w:rFonts w:hint="eastAsia"/>
                <w:sz w:val="21"/>
                <w:szCs w:val="21"/>
              </w:rPr>
              <w:t>一侧眼睑显著缺损</w:t>
            </w:r>
          </w:p>
        </w:tc>
        <w:tc>
          <w:tcPr>
            <w:tcW w:w="1105"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 w:hRule="atLeast"/>
          <w:jc w:val="center"/>
        </w:trPr>
        <w:tc>
          <w:tcPr>
            <w:tcW w:w="7254" w:type="dxa"/>
            <w:shd w:val="clear" w:color="auto" w:fill="auto"/>
            <w:vAlign w:val="center"/>
          </w:tcPr>
          <w:p>
            <w:pPr>
              <w:pStyle w:val="42"/>
              <w:spacing w:line="360" w:lineRule="auto"/>
              <w:rPr>
                <w:sz w:val="21"/>
                <w:szCs w:val="21"/>
              </w:rPr>
            </w:pPr>
            <w:r>
              <w:rPr>
                <w:rFonts w:hint="eastAsia"/>
                <w:sz w:val="21"/>
                <w:szCs w:val="21"/>
              </w:rPr>
              <w:t>一侧眼睑外翻</w:t>
            </w:r>
          </w:p>
        </w:tc>
        <w:tc>
          <w:tcPr>
            <w:tcW w:w="1105" w:type="dxa"/>
            <w:shd w:val="clear" w:color="auto" w:fill="auto"/>
            <w:vAlign w:val="center"/>
          </w:tcPr>
          <w:p>
            <w:pPr>
              <w:pStyle w:val="42"/>
              <w:spacing w:line="360" w:lineRule="auto"/>
              <w:jc w:val="center"/>
              <w:rPr>
                <w:sz w:val="21"/>
                <w:szCs w:val="21"/>
              </w:rPr>
            </w:pPr>
            <w:r>
              <w:rPr>
                <w:rFonts w:hint="eastAsia"/>
                <w:sz w:val="21"/>
                <w:szCs w:val="21"/>
              </w:rPr>
              <w:t>9</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54" w:type="dxa"/>
            <w:shd w:val="clear" w:color="auto" w:fill="auto"/>
            <w:vAlign w:val="center"/>
          </w:tcPr>
          <w:p>
            <w:pPr>
              <w:pStyle w:val="42"/>
              <w:spacing w:line="360" w:lineRule="auto"/>
              <w:rPr>
                <w:sz w:val="21"/>
                <w:szCs w:val="21"/>
              </w:rPr>
            </w:pPr>
            <w:r>
              <w:rPr>
                <w:rFonts w:hint="eastAsia"/>
                <w:sz w:val="21"/>
                <w:szCs w:val="21"/>
              </w:rPr>
              <w:t>一侧眼睑闭合不全</w:t>
            </w:r>
          </w:p>
        </w:tc>
        <w:tc>
          <w:tcPr>
            <w:tcW w:w="1105" w:type="dxa"/>
            <w:shd w:val="clear" w:color="auto" w:fill="auto"/>
            <w:vAlign w:val="center"/>
          </w:tcPr>
          <w:p>
            <w:pPr>
              <w:pStyle w:val="42"/>
              <w:spacing w:line="360" w:lineRule="auto"/>
              <w:jc w:val="center"/>
              <w:rPr>
                <w:sz w:val="21"/>
                <w:szCs w:val="21"/>
              </w:rPr>
            </w:pPr>
            <w:r>
              <w:rPr>
                <w:rFonts w:hint="eastAsia"/>
                <w:sz w:val="21"/>
                <w:szCs w:val="21"/>
              </w:rPr>
              <w:t>9</w:t>
            </w:r>
            <w:r>
              <w:rPr>
                <w:sz w:val="21"/>
                <w:szCs w:val="21"/>
              </w:rPr>
              <w:t>级</w:t>
            </w:r>
          </w:p>
        </w:tc>
      </w:tr>
    </w:tbl>
    <w:p>
      <w:pPr>
        <w:pStyle w:val="40"/>
        <w:spacing w:line="360" w:lineRule="auto"/>
        <w:rPr>
          <w:rFonts w:hint="eastAsia" w:ascii="宋体" w:hAnsi="宋体" w:eastAsia="宋体"/>
          <w:sz w:val="21"/>
          <w:szCs w:val="21"/>
        </w:rPr>
      </w:pPr>
      <w:r>
        <w:rPr>
          <w:rFonts w:hint="eastAsia" w:ascii="宋体" w:hAnsi="宋体" w:eastAsia="宋体"/>
          <w:sz w:val="21"/>
          <w:szCs w:val="21"/>
        </w:rPr>
        <w:t>注：眼睑显著缺损指</w:t>
      </w:r>
      <w:r>
        <w:rPr>
          <w:rFonts w:ascii="宋体" w:hAnsi="宋体" w:eastAsia="宋体"/>
          <w:sz w:val="21"/>
          <w:szCs w:val="21"/>
        </w:rPr>
        <w:t>闭眼时眼睑不能完全覆盖角膜</w:t>
      </w:r>
      <w:r>
        <w:rPr>
          <w:rFonts w:hint="eastAsia" w:ascii="宋体" w:hAnsi="宋体" w:eastAsia="宋体"/>
          <w:sz w:val="21"/>
          <w:szCs w:val="21"/>
        </w:rPr>
        <w:t>。</w:t>
      </w: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1" w:name="_Toc356463472"/>
      <w:r>
        <w:rPr>
          <w:rFonts w:hint="eastAsia" w:ascii="宋体" w:hAnsi="宋体"/>
          <w:sz w:val="21"/>
          <w:szCs w:val="21"/>
        </w:rPr>
        <w:t>耳廓结构损伤或听功能障碍</w:t>
      </w:r>
      <w:bookmarkEnd w:id="11"/>
    </w:p>
    <w:p>
      <w:pPr>
        <w:spacing w:line="360" w:lineRule="auto"/>
        <w:ind w:firstLine="420" w:firstLineChars="200"/>
        <w:rPr>
          <w:rFonts w:ascii="宋体" w:hAnsi="宋体"/>
          <w:szCs w:val="21"/>
        </w:rPr>
      </w:pPr>
      <w:r>
        <w:rPr>
          <w:rFonts w:hint="eastAsia" w:ascii="宋体" w:hAnsi="宋体"/>
          <w:szCs w:val="21"/>
        </w:rPr>
        <w:t>听功能是指与感受存在的声音和辨别方位、音调、音量和音质有关的感觉功能。</w:t>
      </w:r>
    </w:p>
    <w:tbl>
      <w:tblPr>
        <w:tblStyle w:val="17"/>
        <w:tblW w:w="8329" w:type="dxa"/>
        <w:jc w:val="center"/>
        <w:tblInd w:w="-1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9"/>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42"/>
              <w:spacing w:line="360" w:lineRule="auto"/>
              <w:rPr>
                <w:sz w:val="21"/>
                <w:szCs w:val="21"/>
              </w:rPr>
            </w:pPr>
            <w:bookmarkStart w:id="12" w:name="OLE_LINK9"/>
            <w:bookmarkStart w:id="13" w:name="OLE_LINK10"/>
            <w:r>
              <w:rPr>
                <w:rFonts w:hint="eastAsia"/>
                <w:sz w:val="21"/>
                <w:szCs w:val="21"/>
              </w:rPr>
              <w:t>双耳听力损失大于等于</w:t>
            </w:r>
            <w:r>
              <w:rPr>
                <w:sz w:val="21"/>
                <w:szCs w:val="21"/>
              </w:rPr>
              <w:t>91dB，且双侧耳廓缺失</w:t>
            </w:r>
          </w:p>
        </w:tc>
        <w:tc>
          <w:tcPr>
            <w:tcW w:w="1090"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91dB</w:t>
            </w:r>
            <w:r>
              <w:rPr>
                <w:rFonts w:hint="eastAsia"/>
                <w:sz w:val="21"/>
                <w:szCs w:val="21"/>
              </w:rPr>
              <w:t>，且一侧耳廓缺失</w:t>
            </w:r>
          </w:p>
        </w:tc>
        <w:tc>
          <w:tcPr>
            <w:tcW w:w="1090"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91dB，另一耳听力损失大于等于71dB，且一侧耳廓缺失，另一侧耳廓缺失大于等于50%</w:t>
            </w:r>
          </w:p>
        </w:tc>
        <w:tc>
          <w:tcPr>
            <w:tcW w:w="1090"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71dB，且双侧耳廓缺失</w:t>
            </w:r>
          </w:p>
        </w:tc>
        <w:tc>
          <w:tcPr>
            <w:tcW w:w="1090"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71dB</w:t>
            </w:r>
            <w:r>
              <w:rPr>
                <w:rFonts w:hint="eastAsia"/>
                <w:sz w:val="21"/>
                <w:szCs w:val="21"/>
              </w:rPr>
              <w:t>，且一侧耳廓缺失</w:t>
            </w:r>
          </w:p>
        </w:tc>
        <w:tc>
          <w:tcPr>
            <w:tcW w:w="1090"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56dB</w:t>
            </w:r>
            <w:r>
              <w:rPr>
                <w:rFonts w:hint="eastAsia"/>
                <w:sz w:val="21"/>
                <w:szCs w:val="21"/>
              </w:rPr>
              <w:t>，且双侧耳廓缺失</w:t>
            </w:r>
          </w:p>
        </w:tc>
        <w:tc>
          <w:tcPr>
            <w:tcW w:w="1090"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91dB，另一耳听力损失大于等于71dB，且一侧耳廓缺失大于等于50%</w:t>
            </w:r>
          </w:p>
        </w:tc>
        <w:tc>
          <w:tcPr>
            <w:tcW w:w="1090"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71dB，且一侧耳廓缺失大于等于50%</w:t>
            </w:r>
          </w:p>
        </w:tc>
        <w:tc>
          <w:tcPr>
            <w:tcW w:w="1090"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56dB，且一侧耳廓缺失</w:t>
            </w:r>
          </w:p>
        </w:tc>
        <w:tc>
          <w:tcPr>
            <w:tcW w:w="1090"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双侧耳廓缺失</w:t>
            </w:r>
          </w:p>
        </w:tc>
        <w:tc>
          <w:tcPr>
            <w:tcW w:w="1090"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一侧耳廓缺失，且另一侧耳廓缺失大于等于</w:t>
            </w:r>
            <w:r>
              <w:rPr>
                <w:sz w:val="21"/>
                <w:szCs w:val="21"/>
              </w:rPr>
              <w:t>50%</w:t>
            </w:r>
          </w:p>
        </w:tc>
        <w:tc>
          <w:tcPr>
            <w:tcW w:w="1090"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一侧耳廓缺失</w:t>
            </w:r>
          </w:p>
        </w:tc>
        <w:tc>
          <w:tcPr>
            <w:tcW w:w="1090"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7239" w:type="dxa"/>
            <w:shd w:val="clear" w:color="auto" w:fill="auto"/>
            <w:vAlign w:val="center"/>
          </w:tcPr>
          <w:p>
            <w:pPr>
              <w:pStyle w:val="42"/>
              <w:spacing w:line="360" w:lineRule="auto"/>
              <w:rPr>
                <w:sz w:val="21"/>
                <w:szCs w:val="21"/>
              </w:rPr>
            </w:pPr>
            <w:r>
              <w:rPr>
                <w:rFonts w:hint="eastAsia"/>
                <w:sz w:val="21"/>
                <w:szCs w:val="21"/>
              </w:rPr>
              <w:t>一侧耳廓缺失大于等于</w:t>
            </w:r>
            <w:r>
              <w:rPr>
                <w:sz w:val="21"/>
                <w:szCs w:val="21"/>
              </w:rPr>
              <w:t>50%</w:t>
            </w:r>
          </w:p>
        </w:tc>
        <w:tc>
          <w:tcPr>
            <w:tcW w:w="1090" w:type="dxa"/>
            <w:shd w:val="clear" w:color="auto" w:fill="auto"/>
            <w:vAlign w:val="center"/>
          </w:tcPr>
          <w:p>
            <w:pPr>
              <w:pStyle w:val="42"/>
              <w:spacing w:line="360" w:lineRule="auto"/>
              <w:jc w:val="center"/>
              <w:rPr>
                <w:sz w:val="21"/>
                <w:szCs w:val="21"/>
              </w:rPr>
            </w:pPr>
            <w:r>
              <w:rPr>
                <w:sz w:val="21"/>
                <w:szCs w:val="21"/>
              </w:rPr>
              <w:t>9级</w:t>
            </w:r>
          </w:p>
        </w:tc>
      </w:tr>
      <w:bookmarkEnd w:id="12"/>
      <w:bookmarkEnd w:id="13"/>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4" w:name="_Toc356463473"/>
      <w:r>
        <w:rPr>
          <w:rFonts w:hint="eastAsia" w:ascii="宋体" w:hAnsi="宋体"/>
          <w:sz w:val="21"/>
          <w:szCs w:val="21"/>
        </w:rPr>
        <w:t>听功能障碍</w:t>
      </w:r>
      <w:bookmarkEnd w:id="14"/>
    </w:p>
    <w:tbl>
      <w:tblPr>
        <w:tblStyle w:val="17"/>
        <w:tblW w:w="8271" w:type="dxa"/>
        <w:jc w:val="center"/>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jc w:val="center"/>
        </w:trPr>
        <w:tc>
          <w:tcPr>
            <w:tcW w:w="7210" w:type="dxa"/>
            <w:shd w:val="clear" w:color="auto" w:fill="auto"/>
            <w:vAlign w:val="center"/>
          </w:tcPr>
          <w:p>
            <w:pPr>
              <w:pStyle w:val="42"/>
              <w:spacing w:line="360" w:lineRule="auto"/>
              <w:rPr>
                <w:sz w:val="21"/>
                <w:szCs w:val="21"/>
              </w:rPr>
            </w:pPr>
            <w:bookmarkStart w:id="15" w:name="OLE_LINK6"/>
            <w:bookmarkStart w:id="16" w:name="OLE_LINK5"/>
            <w:r>
              <w:rPr>
                <w:rFonts w:hint="eastAsia"/>
                <w:sz w:val="21"/>
                <w:szCs w:val="21"/>
              </w:rPr>
              <w:t>双耳听力损失大于等于</w:t>
            </w:r>
            <w:r>
              <w:rPr>
                <w:sz w:val="21"/>
                <w:szCs w:val="21"/>
              </w:rPr>
              <w:t>91dB</w:t>
            </w:r>
          </w:p>
        </w:tc>
        <w:tc>
          <w:tcPr>
            <w:tcW w:w="1061"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81dB</w:t>
            </w:r>
          </w:p>
        </w:tc>
        <w:tc>
          <w:tcPr>
            <w:tcW w:w="106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91dB，且另一耳听力损失大于等于71dB</w:t>
            </w:r>
          </w:p>
        </w:tc>
        <w:tc>
          <w:tcPr>
            <w:tcW w:w="106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71dB</w:t>
            </w:r>
          </w:p>
        </w:tc>
        <w:tc>
          <w:tcPr>
            <w:tcW w:w="106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91dB，且另一耳听力损失大于等于56dB</w:t>
            </w:r>
          </w:p>
        </w:tc>
        <w:tc>
          <w:tcPr>
            <w:tcW w:w="106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91dB，且另一耳听力损失大于等于41dB</w:t>
            </w:r>
          </w:p>
        </w:tc>
        <w:tc>
          <w:tcPr>
            <w:tcW w:w="106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71dB，且另一耳听力损失大于等于56dB</w:t>
            </w:r>
          </w:p>
        </w:tc>
        <w:tc>
          <w:tcPr>
            <w:tcW w:w="106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71dB，且另一耳听力损失大于等于41dB</w:t>
            </w:r>
          </w:p>
        </w:tc>
        <w:tc>
          <w:tcPr>
            <w:tcW w:w="106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91dB</w:t>
            </w:r>
          </w:p>
        </w:tc>
        <w:tc>
          <w:tcPr>
            <w:tcW w:w="106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 xml:space="preserve">56dB，且另一耳听力损失大于等于41dB </w:t>
            </w:r>
          </w:p>
        </w:tc>
        <w:tc>
          <w:tcPr>
            <w:tcW w:w="106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71dB</w:t>
            </w:r>
          </w:p>
        </w:tc>
        <w:tc>
          <w:tcPr>
            <w:tcW w:w="106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双耳听力损失大于等于</w:t>
            </w:r>
            <w:r>
              <w:rPr>
                <w:sz w:val="21"/>
                <w:szCs w:val="21"/>
              </w:rPr>
              <w:t>26dB</w:t>
            </w:r>
          </w:p>
        </w:tc>
        <w:tc>
          <w:tcPr>
            <w:tcW w:w="1061"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7210" w:type="dxa"/>
            <w:shd w:val="clear" w:color="auto" w:fill="auto"/>
            <w:vAlign w:val="center"/>
          </w:tcPr>
          <w:p>
            <w:pPr>
              <w:pStyle w:val="42"/>
              <w:spacing w:line="360" w:lineRule="auto"/>
              <w:rPr>
                <w:sz w:val="21"/>
                <w:szCs w:val="21"/>
              </w:rPr>
            </w:pPr>
            <w:r>
              <w:rPr>
                <w:rFonts w:hint="eastAsia"/>
                <w:sz w:val="21"/>
                <w:szCs w:val="21"/>
              </w:rPr>
              <w:t>一耳听力损失大于等于</w:t>
            </w:r>
            <w:r>
              <w:rPr>
                <w:sz w:val="21"/>
                <w:szCs w:val="21"/>
              </w:rPr>
              <w:t>56dB</w:t>
            </w:r>
          </w:p>
        </w:tc>
        <w:tc>
          <w:tcPr>
            <w:tcW w:w="1061" w:type="dxa"/>
            <w:shd w:val="clear" w:color="auto" w:fill="auto"/>
            <w:vAlign w:val="center"/>
          </w:tcPr>
          <w:p>
            <w:pPr>
              <w:pStyle w:val="42"/>
              <w:spacing w:line="360" w:lineRule="auto"/>
              <w:jc w:val="center"/>
              <w:rPr>
                <w:sz w:val="21"/>
                <w:szCs w:val="21"/>
              </w:rPr>
            </w:pPr>
            <w:r>
              <w:rPr>
                <w:sz w:val="21"/>
                <w:szCs w:val="21"/>
              </w:rPr>
              <w:t>10级</w:t>
            </w:r>
          </w:p>
        </w:tc>
      </w:tr>
      <w:bookmarkEnd w:id="15"/>
      <w:bookmarkEnd w:id="16"/>
    </w:tbl>
    <w:p>
      <w:pPr>
        <w:spacing w:line="360" w:lineRule="auto"/>
        <w:ind w:firstLine="420" w:firstLineChars="200"/>
        <w:contextualSpacing/>
        <w:rPr>
          <w:rFonts w:ascii="宋体" w:hAnsi="宋体"/>
          <w:szCs w:val="21"/>
        </w:rPr>
      </w:pP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17" w:name="_Toc356463474"/>
      <w:r>
        <w:rPr>
          <w:rFonts w:hint="eastAsia" w:ascii="宋体" w:hAnsi="宋体" w:eastAsia="宋体"/>
          <w:sz w:val="21"/>
          <w:szCs w:val="21"/>
        </w:rPr>
        <w:t>发声和言语的结构和功能</w:t>
      </w:r>
      <w:bookmarkEnd w:id="17"/>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8" w:name="_Toc356463475"/>
      <w:r>
        <w:rPr>
          <w:rFonts w:hint="eastAsia" w:ascii="宋体" w:hAnsi="宋体"/>
          <w:sz w:val="21"/>
          <w:szCs w:val="21"/>
        </w:rPr>
        <w:t>鼻的结构损伤</w:t>
      </w:r>
      <w:bookmarkEnd w:id="18"/>
    </w:p>
    <w:tbl>
      <w:tblPr>
        <w:tblStyle w:val="17"/>
        <w:tblW w:w="8245"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2"/>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shd w:val="clear" w:color="auto" w:fill="auto"/>
          </w:tcPr>
          <w:p>
            <w:pPr>
              <w:pStyle w:val="42"/>
              <w:spacing w:line="360" w:lineRule="auto"/>
              <w:rPr>
                <w:sz w:val="21"/>
                <w:szCs w:val="21"/>
              </w:rPr>
            </w:pPr>
            <w:r>
              <w:rPr>
                <w:rFonts w:hint="eastAsia"/>
                <w:sz w:val="21"/>
                <w:szCs w:val="21"/>
              </w:rPr>
              <w:t>外鼻部完全缺失</w:t>
            </w:r>
          </w:p>
        </w:tc>
        <w:tc>
          <w:tcPr>
            <w:tcW w:w="1043" w:type="dxa"/>
            <w:shd w:val="clear" w:color="auto" w:fill="auto"/>
          </w:tcPr>
          <w:p>
            <w:pPr>
              <w:pStyle w:val="42"/>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02" w:type="dxa"/>
            <w:shd w:val="clear" w:color="auto" w:fill="auto"/>
          </w:tcPr>
          <w:p>
            <w:pPr>
              <w:pStyle w:val="42"/>
              <w:spacing w:line="360" w:lineRule="auto"/>
              <w:rPr>
                <w:sz w:val="21"/>
                <w:szCs w:val="21"/>
              </w:rPr>
            </w:pPr>
            <w:r>
              <w:rPr>
                <w:rFonts w:hint="eastAsia"/>
                <w:sz w:val="21"/>
                <w:szCs w:val="21"/>
              </w:rPr>
              <w:t>外鼻部大部分缺损</w:t>
            </w:r>
          </w:p>
        </w:tc>
        <w:tc>
          <w:tcPr>
            <w:tcW w:w="1043" w:type="dxa"/>
            <w:shd w:val="clear" w:color="auto" w:fill="auto"/>
          </w:tcPr>
          <w:p>
            <w:pPr>
              <w:pStyle w:val="42"/>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 w:hRule="atLeast"/>
        </w:trPr>
        <w:tc>
          <w:tcPr>
            <w:tcW w:w="7202" w:type="dxa"/>
            <w:shd w:val="clear" w:color="auto" w:fill="auto"/>
          </w:tcPr>
          <w:p>
            <w:pPr>
              <w:pStyle w:val="42"/>
              <w:spacing w:line="360" w:lineRule="auto"/>
              <w:rPr>
                <w:sz w:val="21"/>
                <w:szCs w:val="21"/>
              </w:rPr>
            </w:pPr>
            <w:r>
              <w:rPr>
                <w:rFonts w:hint="eastAsia"/>
                <w:sz w:val="21"/>
                <w:szCs w:val="21"/>
              </w:rPr>
              <w:t>鼻尖及一侧鼻翼缺损</w:t>
            </w:r>
          </w:p>
        </w:tc>
        <w:tc>
          <w:tcPr>
            <w:tcW w:w="1043" w:type="dxa"/>
            <w:shd w:val="clear" w:color="auto" w:fill="auto"/>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7202" w:type="dxa"/>
            <w:shd w:val="clear" w:color="auto" w:fill="auto"/>
          </w:tcPr>
          <w:p>
            <w:pPr>
              <w:pStyle w:val="42"/>
              <w:spacing w:line="360" w:lineRule="auto"/>
              <w:rPr>
                <w:sz w:val="21"/>
                <w:szCs w:val="21"/>
              </w:rPr>
            </w:pPr>
            <w:r>
              <w:rPr>
                <w:rFonts w:hint="eastAsia"/>
                <w:sz w:val="21"/>
                <w:szCs w:val="21"/>
              </w:rPr>
              <w:t>双侧鼻腔或鼻咽部闭锁</w:t>
            </w:r>
          </w:p>
        </w:tc>
        <w:tc>
          <w:tcPr>
            <w:tcW w:w="1043" w:type="dxa"/>
            <w:shd w:val="clear" w:color="auto" w:fill="auto"/>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shd w:val="clear" w:color="auto" w:fill="auto"/>
          </w:tcPr>
          <w:p>
            <w:pPr>
              <w:pStyle w:val="42"/>
              <w:spacing w:line="360" w:lineRule="auto"/>
              <w:rPr>
                <w:sz w:val="21"/>
                <w:szCs w:val="21"/>
              </w:rPr>
            </w:pPr>
            <w:r>
              <w:rPr>
                <w:rFonts w:hint="eastAsia"/>
                <w:sz w:val="21"/>
                <w:szCs w:val="21"/>
              </w:rPr>
              <w:t>一侧鼻翼缺损</w:t>
            </w:r>
          </w:p>
        </w:tc>
        <w:tc>
          <w:tcPr>
            <w:tcW w:w="1043" w:type="dxa"/>
            <w:shd w:val="clear" w:color="auto" w:fill="auto"/>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02" w:type="dxa"/>
            <w:shd w:val="clear" w:color="auto" w:fill="auto"/>
          </w:tcPr>
          <w:p>
            <w:pPr>
              <w:pStyle w:val="42"/>
              <w:spacing w:line="360" w:lineRule="auto"/>
              <w:rPr>
                <w:sz w:val="21"/>
                <w:szCs w:val="21"/>
              </w:rPr>
            </w:pPr>
            <w:r>
              <w:rPr>
                <w:rFonts w:hint="eastAsia"/>
                <w:sz w:val="21"/>
                <w:szCs w:val="21"/>
              </w:rPr>
              <w:t>单侧鼻腔或鼻孔闭锁</w:t>
            </w:r>
          </w:p>
        </w:tc>
        <w:tc>
          <w:tcPr>
            <w:tcW w:w="1043" w:type="dxa"/>
            <w:shd w:val="clear" w:color="auto" w:fill="auto"/>
          </w:tcPr>
          <w:p>
            <w:pPr>
              <w:pStyle w:val="42"/>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19" w:name="_Toc356463476"/>
      <w:r>
        <w:rPr>
          <w:rFonts w:hint="eastAsia" w:ascii="宋体" w:hAnsi="宋体"/>
          <w:sz w:val="21"/>
          <w:szCs w:val="21"/>
        </w:rPr>
        <w:t>口腔的结构损伤</w:t>
      </w:r>
      <w:bookmarkEnd w:id="19"/>
    </w:p>
    <w:tbl>
      <w:tblPr>
        <w:tblStyle w:val="17"/>
        <w:tblW w:w="825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6"/>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7216" w:type="dxa"/>
            <w:shd w:val="clear" w:color="auto" w:fill="auto"/>
          </w:tcPr>
          <w:p>
            <w:pPr>
              <w:pStyle w:val="42"/>
              <w:spacing w:line="360" w:lineRule="auto"/>
              <w:rPr>
                <w:sz w:val="21"/>
                <w:szCs w:val="21"/>
              </w:rPr>
            </w:pPr>
            <w:r>
              <w:rPr>
                <w:rFonts w:hint="eastAsia"/>
                <w:sz w:val="21"/>
                <w:szCs w:val="21"/>
              </w:rPr>
              <w:t>舌缺损大于全舌的</w:t>
            </w:r>
            <w:r>
              <w:rPr>
                <w:sz w:val="21"/>
                <w:szCs w:val="21"/>
              </w:rPr>
              <w:t>2/3</w:t>
            </w:r>
          </w:p>
        </w:tc>
        <w:tc>
          <w:tcPr>
            <w:tcW w:w="1043" w:type="dxa"/>
            <w:shd w:val="clear" w:color="auto" w:fill="auto"/>
          </w:tcPr>
          <w:p>
            <w:pPr>
              <w:pStyle w:val="42"/>
              <w:spacing w:line="360" w:lineRule="auto"/>
              <w:jc w:val="center"/>
              <w:rPr>
                <w:color w:val="000000"/>
                <w:sz w:val="21"/>
                <w:szCs w:val="21"/>
              </w:rPr>
            </w:pPr>
            <w:r>
              <w:rPr>
                <w:color w:val="000000"/>
                <w:sz w:val="21"/>
                <w:szCs w:val="21"/>
              </w:rPr>
              <w:t xml:space="preserve">3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16" w:type="dxa"/>
            <w:shd w:val="clear" w:color="auto" w:fill="auto"/>
          </w:tcPr>
          <w:p>
            <w:pPr>
              <w:pStyle w:val="42"/>
              <w:spacing w:line="360" w:lineRule="auto"/>
              <w:rPr>
                <w:sz w:val="21"/>
                <w:szCs w:val="21"/>
              </w:rPr>
            </w:pPr>
            <w:r>
              <w:rPr>
                <w:rFonts w:hint="eastAsia"/>
                <w:sz w:val="21"/>
                <w:szCs w:val="21"/>
              </w:rPr>
              <w:t>舌缺损大于全舌的</w:t>
            </w:r>
            <w:r>
              <w:rPr>
                <w:sz w:val="21"/>
                <w:szCs w:val="21"/>
              </w:rPr>
              <w:t>1/3</w:t>
            </w:r>
          </w:p>
        </w:tc>
        <w:tc>
          <w:tcPr>
            <w:tcW w:w="1043" w:type="dxa"/>
            <w:shd w:val="clear" w:color="auto" w:fill="auto"/>
          </w:tcPr>
          <w:p>
            <w:pPr>
              <w:pStyle w:val="42"/>
              <w:spacing w:line="360" w:lineRule="auto"/>
              <w:jc w:val="center"/>
              <w:rPr>
                <w:color w:val="000000"/>
                <w:sz w:val="21"/>
                <w:szCs w:val="21"/>
              </w:rPr>
            </w:pPr>
            <w:r>
              <w:rPr>
                <w:color w:val="000000"/>
                <w:sz w:val="21"/>
                <w:szCs w:val="21"/>
              </w:rPr>
              <w:t xml:space="preserve">6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16" w:type="dxa"/>
            <w:shd w:val="clear" w:color="auto" w:fill="auto"/>
          </w:tcPr>
          <w:p>
            <w:pPr>
              <w:pStyle w:val="42"/>
              <w:spacing w:line="360" w:lineRule="auto"/>
              <w:rPr>
                <w:sz w:val="21"/>
                <w:szCs w:val="21"/>
              </w:rPr>
            </w:pPr>
            <w:r>
              <w:rPr>
                <w:rFonts w:hint="eastAsia"/>
                <w:sz w:val="21"/>
                <w:szCs w:val="21"/>
              </w:rPr>
              <w:t>口腔损伤导致牙齿脱落大于等于</w:t>
            </w:r>
            <w:r>
              <w:rPr>
                <w:sz w:val="21"/>
                <w:szCs w:val="21"/>
              </w:rPr>
              <w:t>16枚</w:t>
            </w:r>
          </w:p>
        </w:tc>
        <w:tc>
          <w:tcPr>
            <w:tcW w:w="1043" w:type="dxa"/>
            <w:shd w:val="clear" w:color="auto" w:fill="auto"/>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7216" w:type="dxa"/>
            <w:shd w:val="clear" w:color="auto" w:fill="auto"/>
          </w:tcPr>
          <w:p>
            <w:pPr>
              <w:pStyle w:val="42"/>
              <w:spacing w:line="360" w:lineRule="auto"/>
              <w:rPr>
                <w:sz w:val="21"/>
                <w:szCs w:val="21"/>
              </w:rPr>
            </w:pPr>
            <w:r>
              <w:rPr>
                <w:rFonts w:hint="eastAsia"/>
                <w:sz w:val="21"/>
                <w:szCs w:val="21"/>
              </w:rPr>
              <w:t>口腔损伤导致牙齿脱落大于等于</w:t>
            </w:r>
            <w:r>
              <w:rPr>
                <w:sz w:val="21"/>
                <w:szCs w:val="21"/>
              </w:rPr>
              <w:t>8枚</w:t>
            </w:r>
          </w:p>
        </w:tc>
        <w:tc>
          <w:tcPr>
            <w:tcW w:w="1043" w:type="dxa"/>
            <w:shd w:val="clear" w:color="auto" w:fill="auto"/>
          </w:tcPr>
          <w:p>
            <w:pPr>
              <w:pStyle w:val="42"/>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20" w:name="_Toc356463477"/>
      <w:r>
        <w:rPr>
          <w:rFonts w:hint="eastAsia" w:ascii="宋体" w:hAnsi="宋体"/>
          <w:sz w:val="21"/>
          <w:szCs w:val="21"/>
        </w:rPr>
        <w:t>发声和言语的功能障碍</w:t>
      </w:r>
      <w:bookmarkEnd w:id="20"/>
    </w:p>
    <w:p>
      <w:pPr>
        <w:spacing w:line="360" w:lineRule="auto"/>
        <w:ind w:firstLine="420" w:firstLineChars="200"/>
        <w:rPr>
          <w:rFonts w:ascii="宋体" w:hAnsi="宋体"/>
          <w:szCs w:val="21"/>
        </w:rPr>
      </w:pPr>
      <w:r>
        <w:rPr>
          <w:rFonts w:hint="eastAsia" w:ascii="宋体" w:hAnsi="宋体"/>
          <w:szCs w:val="21"/>
        </w:rPr>
        <w:t>本标准中的发声和言语的功能障碍是指语言功能丧失。</w:t>
      </w:r>
    </w:p>
    <w:tbl>
      <w:tblPr>
        <w:tblStyle w:val="17"/>
        <w:tblW w:w="82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0" w:type="dxa"/>
            <w:shd w:val="clear" w:color="auto" w:fill="auto"/>
          </w:tcPr>
          <w:p>
            <w:pPr>
              <w:pStyle w:val="42"/>
              <w:spacing w:line="360" w:lineRule="auto"/>
              <w:rPr>
                <w:sz w:val="21"/>
                <w:szCs w:val="21"/>
              </w:rPr>
            </w:pPr>
            <w:r>
              <w:rPr>
                <w:rFonts w:hint="eastAsia"/>
                <w:sz w:val="21"/>
                <w:szCs w:val="21"/>
              </w:rPr>
              <w:t>语言功能完全丧失</w:t>
            </w:r>
          </w:p>
        </w:tc>
        <w:tc>
          <w:tcPr>
            <w:tcW w:w="1043" w:type="dxa"/>
            <w:shd w:val="clear" w:color="auto" w:fill="auto"/>
          </w:tcPr>
          <w:p>
            <w:pPr>
              <w:pStyle w:val="42"/>
              <w:spacing w:line="360" w:lineRule="auto"/>
              <w:jc w:val="center"/>
              <w:rPr>
                <w:color w:val="000000"/>
                <w:sz w:val="21"/>
                <w:szCs w:val="21"/>
              </w:rPr>
            </w:pPr>
            <w:r>
              <w:rPr>
                <w:color w:val="000000"/>
                <w:sz w:val="21"/>
                <w:szCs w:val="21"/>
              </w:rPr>
              <w:t>8</w:t>
            </w:r>
            <w:r>
              <w:rPr>
                <w:rFonts w:hint="eastAsia"/>
                <w:color w:val="000000"/>
                <w:sz w:val="21"/>
                <w:szCs w:val="21"/>
              </w:rPr>
              <w:t>级</w:t>
            </w:r>
          </w:p>
        </w:tc>
      </w:tr>
    </w:tbl>
    <w:p>
      <w:pPr>
        <w:pStyle w:val="40"/>
        <w:spacing w:line="360" w:lineRule="auto"/>
        <w:rPr>
          <w:rFonts w:hint="eastAsia" w:ascii="宋体" w:hAnsi="宋体" w:eastAsia="宋体"/>
          <w:sz w:val="21"/>
          <w:szCs w:val="21"/>
        </w:rPr>
      </w:pPr>
      <w:r>
        <w:rPr>
          <w:rFonts w:hint="eastAsia" w:ascii="宋体" w:hAnsi="宋体" w:eastAsia="宋体"/>
          <w:sz w:val="21"/>
          <w:szCs w:val="21"/>
        </w:rPr>
        <w:t>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21" w:name="_Toc349826758"/>
      <w:bookmarkEnd w:id="21"/>
      <w:bookmarkStart w:id="22" w:name="_Toc349826914"/>
      <w:bookmarkEnd w:id="22"/>
      <w:bookmarkStart w:id="23" w:name="_Toc349832692"/>
      <w:bookmarkEnd w:id="23"/>
      <w:bookmarkStart w:id="24" w:name="_Toc349833347"/>
      <w:bookmarkEnd w:id="24"/>
      <w:bookmarkStart w:id="25" w:name="_Toc349833743"/>
      <w:bookmarkEnd w:id="25"/>
      <w:bookmarkStart w:id="26" w:name="_Toc349826759"/>
      <w:bookmarkEnd w:id="26"/>
      <w:bookmarkStart w:id="27" w:name="_Toc349826915"/>
      <w:bookmarkEnd w:id="27"/>
      <w:bookmarkStart w:id="28" w:name="_Toc349832693"/>
      <w:bookmarkEnd w:id="28"/>
      <w:bookmarkStart w:id="29" w:name="_Toc349833348"/>
      <w:bookmarkEnd w:id="29"/>
      <w:bookmarkStart w:id="30" w:name="_Toc349833744"/>
      <w:bookmarkEnd w:id="30"/>
      <w:bookmarkStart w:id="31" w:name="_Toc356463478"/>
      <w:r>
        <w:rPr>
          <w:rFonts w:hint="eastAsia" w:ascii="宋体" w:hAnsi="宋体" w:eastAsia="宋体"/>
          <w:sz w:val="21"/>
          <w:szCs w:val="21"/>
        </w:rPr>
        <w:t>心血管，免疫和呼吸系统的结构和功能</w:t>
      </w:r>
      <w:bookmarkEnd w:id="31"/>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2" w:name="_Toc350932575"/>
      <w:bookmarkStart w:id="33" w:name="_Toc356463479"/>
      <w:r>
        <w:rPr>
          <w:rFonts w:hint="eastAsia" w:ascii="宋体" w:hAnsi="宋体"/>
          <w:sz w:val="21"/>
          <w:szCs w:val="21"/>
        </w:rPr>
        <w:t>心脏的结构损伤或功能障碍</w:t>
      </w:r>
      <w:bookmarkEnd w:id="32"/>
      <w:bookmarkEnd w:id="33"/>
    </w:p>
    <w:tbl>
      <w:tblPr>
        <w:tblStyle w:val="17"/>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 w:hRule="atLeast"/>
        </w:trPr>
        <w:tc>
          <w:tcPr>
            <w:tcW w:w="7244" w:type="dxa"/>
            <w:shd w:val="clear" w:color="auto" w:fill="auto"/>
          </w:tcPr>
          <w:p>
            <w:pPr>
              <w:pStyle w:val="42"/>
              <w:spacing w:line="360" w:lineRule="auto"/>
              <w:rPr>
                <w:sz w:val="21"/>
                <w:szCs w:val="21"/>
              </w:rPr>
            </w:pPr>
            <w:r>
              <w:rPr>
                <w:rFonts w:hint="eastAsia"/>
                <w:sz w:val="21"/>
                <w:szCs w:val="21"/>
              </w:rPr>
              <w:t>胸部损伤导致心肺联合移植</w:t>
            </w:r>
          </w:p>
        </w:tc>
        <w:tc>
          <w:tcPr>
            <w:tcW w:w="1043" w:type="dxa"/>
            <w:shd w:val="clear" w:color="auto" w:fill="auto"/>
          </w:tcPr>
          <w:p>
            <w:pPr>
              <w:pStyle w:val="42"/>
              <w:spacing w:line="360" w:lineRule="auto"/>
              <w:jc w:val="center"/>
              <w:rPr>
                <w:color w:val="000000"/>
                <w:sz w:val="21"/>
                <w:szCs w:val="21"/>
              </w:rPr>
            </w:pPr>
            <w:r>
              <w:rPr>
                <w:rFonts w:hint="eastAsia"/>
                <w:color w:val="000000"/>
                <w:sz w:val="21"/>
                <w:szCs w:val="21"/>
              </w:rPr>
              <w:t>1</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胸部损伤导致心脏贯通伤修补术后，心电图有明显改变</w:t>
            </w:r>
          </w:p>
        </w:tc>
        <w:tc>
          <w:tcPr>
            <w:tcW w:w="1043" w:type="dxa"/>
            <w:shd w:val="clear" w:color="auto" w:fill="auto"/>
          </w:tcPr>
          <w:p>
            <w:pPr>
              <w:pStyle w:val="42"/>
              <w:spacing w:line="360" w:lineRule="auto"/>
              <w:jc w:val="center"/>
              <w:rPr>
                <w:color w:val="000000"/>
                <w:sz w:val="21"/>
                <w:szCs w:val="21"/>
              </w:rPr>
            </w:pPr>
            <w:r>
              <w:rPr>
                <w:rFonts w:hint="eastAsia"/>
                <w:color w:val="000000"/>
                <w:sz w:val="21"/>
                <w:szCs w:val="21"/>
              </w:rPr>
              <w:t>3</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7244" w:type="dxa"/>
            <w:shd w:val="clear" w:color="auto" w:fill="auto"/>
          </w:tcPr>
          <w:p>
            <w:pPr>
              <w:pStyle w:val="42"/>
              <w:spacing w:line="360" w:lineRule="auto"/>
              <w:rPr>
                <w:sz w:val="21"/>
                <w:szCs w:val="21"/>
              </w:rPr>
            </w:pPr>
            <w:r>
              <w:rPr>
                <w:rFonts w:hint="eastAsia"/>
                <w:sz w:val="21"/>
                <w:szCs w:val="21"/>
              </w:rPr>
              <w:t>胸部损伤导致心肌破裂修补</w:t>
            </w:r>
          </w:p>
        </w:tc>
        <w:tc>
          <w:tcPr>
            <w:tcW w:w="1043" w:type="dxa"/>
            <w:shd w:val="clear" w:color="auto" w:fill="auto"/>
          </w:tcPr>
          <w:p>
            <w:pPr>
              <w:pStyle w:val="42"/>
              <w:spacing w:line="360" w:lineRule="auto"/>
              <w:jc w:val="center"/>
              <w:rPr>
                <w:color w:val="000000"/>
                <w:sz w:val="21"/>
                <w:szCs w:val="21"/>
              </w:rPr>
            </w:pPr>
            <w:r>
              <w:rPr>
                <w:rFonts w:hint="eastAsia"/>
                <w:color w:val="000000"/>
                <w:sz w:val="21"/>
                <w:szCs w:val="21"/>
              </w:rPr>
              <w:t>8</w:t>
            </w:r>
            <w:r>
              <w:rPr>
                <w:color w:val="000000"/>
                <w:sz w:val="21"/>
                <w:szCs w:val="21"/>
              </w:rPr>
              <w:t>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4" w:name="_Toc356463480"/>
      <w:r>
        <w:rPr>
          <w:rFonts w:hint="eastAsia" w:ascii="宋体" w:hAnsi="宋体"/>
          <w:sz w:val="21"/>
          <w:szCs w:val="21"/>
        </w:rPr>
        <w:t>脾结构损伤</w:t>
      </w:r>
      <w:bookmarkEnd w:id="34"/>
    </w:p>
    <w:tbl>
      <w:tblPr>
        <w:tblStyle w:val="17"/>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7244" w:type="dxa"/>
            <w:shd w:val="clear" w:color="auto" w:fill="auto"/>
          </w:tcPr>
          <w:p>
            <w:pPr>
              <w:pStyle w:val="42"/>
              <w:spacing w:line="360" w:lineRule="auto"/>
              <w:rPr>
                <w:sz w:val="21"/>
                <w:szCs w:val="21"/>
              </w:rPr>
            </w:pPr>
            <w:r>
              <w:rPr>
                <w:rFonts w:hint="eastAsia"/>
                <w:sz w:val="21"/>
                <w:szCs w:val="21"/>
              </w:rPr>
              <w:t>腹部损伤导致脾切除</w:t>
            </w:r>
          </w:p>
        </w:tc>
        <w:tc>
          <w:tcPr>
            <w:tcW w:w="1043" w:type="dxa"/>
            <w:shd w:val="clear" w:color="auto" w:fill="auto"/>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腹部损伤导致脾部分切除</w:t>
            </w:r>
          </w:p>
        </w:tc>
        <w:tc>
          <w:tcPr>
            <w:tcW w:w="1043" w:type="dxa"/>
            <w:shd w:val="clear" w:color="auto" w:fill="auto"/>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7244" w:type="dxa"/>
            <w:shd w:val="clear" w:color="auto" w:fill="auto"/>
          </w:tcPr>
          <w:p>
            <w:pPr>
              <w:pStyle w:val="42"/>
              <w:spacing w:line="360" w:lineRule="auto"/>
              <w:rPr>
                <w:sz w:val="21"/>
                <w:szCs w:val="21"/>
              </w:rPr>
            </w:pPr>
            <w:r>
              <w:rPr>
                <w:rFonts w:hint="eastAsia"/>
                <w:sz w:val="21"/>
                <w:szCs w:val="21"/>
              </w:rPr>
              <w:t>腹部损伤导致脾破裂修补</w:t>
            </w:r>
          </w:p>
        </w:tc>
        <w:tc>
          <w:tcPr>
            <w:tcW w:w="1043" w:type="dxa"/>
            <w:shd w:val="clear" w:color="auto" w:fill="auto"/>
          </w:tcPr>
          <w:p>
            <w:pPr>
              <w:pStyle w:val="42"/>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5" w:name="_Toc356463481"/>
      <w:r>
        <w:rPr>
          <w:rFonts w:hint="eastAsia" w:ascii="宋体" w:hAnsi="宋体"/>
          <w:sz w:val="21"/>
          <w:szCs w:val="21"/>
        </w:rPr>
        <w:t>肺的结构损伤</w:t>
      </w:r>
      <w:bookmarkEnd w:id="35"/>
    </w:p>
    <w:tbl>
      <w:tblPr>
        <w:tblStyle w:val="17"/>
        <w:tblW w:w="8287" w:type="dxa"/>
        <w:tblInd w:w="94" w:type="dxa"/>
        <w:tblLayout w:type="fixed"/>
        <w:tblCellMar>
          <w:top w:w="0" w:type="dxa"/>
          <w:left w:w="108" w:type="dxa"/>
          <w:bottom w:w="0" w:type="dxa"/>
          <w:right w:w="108" w:type="dxa"/>
        </w:tblCellMar>
      </w:tblPr>
      <w:tblGrid>
        <w:gridCol w:w="7244"/>
        <w:gridCol w:w="1043"/>
      </w:tblGrid>
      <w:tr>
        <w:tblPrEx>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bookmarkStart w:id="36" w:name="OLE_LINK13"/>
            <w:r>
              <w:rPr>
                <w:rFonts w:hint="eastAsia"/>
                <w:sz w:val="21"/>
                <w:szCs w:val="21"/>
              </w:rPr>
              <w:t>胸部损伤导致一侧全肺切除</w:t>
            </w:r>
            <w:bookmarkEnd w:id="36"/>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color w:val="000000"/>
                <w:sz w:val="21"/>
                <w:szCs w:val="21"/>
              </w:rPr>
            </w:pPr>
            <w:r>
              <w:rPr>
                <w:color w:val="000000"/>
                <w:sz w:val="21"/>
                <w:szCs w:val="21"/>
              </w:rPr>
              <w:t>4级</w:t>
            </w:r>
          </w:p>
        </w:tc>
      </w:tr>
      <w:tr>
        <w:tblPrEx>
          <w:tblLayout w:type="fixed"/>
          <w:tblCellMar>
            <w:top w:w="0" w:type="dxa"/>
            <w:left w:w="108" w:type="dxa"/>
            <w:bottom w:w="0" w:type="dxa"/>
            <w:right w:w="108" w:type="dxa"/>
          </w:tblCellMar>
        </w:tblPrEx>
        <w:trPr>
          <w:trHeight w:val="106" w:hRule="atLeast"/>
        </w:trPr>
        <w:tc>
          <w:tcPr>
            <w:tcW w:w="7244"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胸部损伤导致双侧肺叶切除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color w:val="000000"/>
                <w:sz w:val="21"/>
                <w:szCs w:val="21"/>
              </w:rPr>
            </w:pPr>
            <w:r>
              <w:rPr>
                <w:color w:val="000000"/>
                <w:sz w:val="21"/>
                <w:szCs w:val="21"/>
              </w:rPr>
              <w:t>4级</w:t>
            </w:r>
          </w:p>
        </w:tc>
      </w:tr>
      <w:tr>
        <w:tblPrEx>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胸部损伤导致同侧双肺叶切除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color w:val="000000"/>
                <w:sz w:val="21"/>
                <w:szCs w:val="21"/>
              </w:rPr>
            </w:pPr>
            <w:r>
              <w:rPr>
                <w:color w:val="000000"/>
                <w:sz w:val="21"/>
                <w:szCs w:val="21"/>
              </w:rPr>
              <w:t>5级</w:t>
            </w:r>
          </w:p>
        </w:tc>
      </w:tr>
      <w:tr>
        <w:tblPrEx>
          <w:tblLayout w:type="fixed"/>
          <w:tblCellMar>
            <w:top w:w="0" w:type="dxa"/>
            <w:left w:w="108" w:type="dxa"/>
            <w:bottom w:w="0" w:type="dxa"/>
            <w:right w:w="108" w:type="dxa"/>
          </w:tblCellMar>
        </w:tblPrEx>
        <w:trPr>
          <w:trHeight w:val="64" w:hRule="atLeast"/>
        </w:trPr>
        <w:tc>
          <w:tcPr>
            <w:tcW w:w="7244"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color w:val="FF0000"/>
                <w:sz w:val="21"/>
                <w:szCs w:val="21"/>
              </w:rPr>
            </w:pPr>
            <w:r>
              <w:rPr>
                <w:rFonts w:hint="eastAsia"/>
                <w:sz w:val="21"/>
                <w:szCs w:val="21"/>
              </w:rPr>
              <w:t>胸部损伤导致肺叶切除</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color w:val="000000"/>
                <w:sz w:val="21"/>
                <w:szCs w:val="21"/>
              </w:rPr>
            </w:pPr>
            <w:r>
              <w:rPr>
                <w:color w:val="000000"/>
                <w:sz w:val="21"/>
                <w:szCs w:val="21"/>
              </w:rPr>
              <w:t>7级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7" w:name="_Toc356463482"/>
      <w:r>
        <w:rPr>
          <w:rFonts w:hint="eastAsia" w:ascii="宋体" w:hAnsi="宋体"/>
          <w:sz w:val="21"/>
          <w:szCs w:val="21"/>
        </w:rPr>
        <w:t>胸廓的结构损伤</w:t>
      </w:r>
      <w:bookmarkEnd w:id="37"/>
    </w:p>
    <w:p>
      <w:pPr>
        <w:spacing w:line="360" w:lineRule="auto"/>
        <w:ind w:firstLine="420" w:firstLineChars="200"/>
        <w:contextualSpacing/>
        <w:rPr>
          <w:rFonts w:ascii="宋体" w:hAnsi="宋体"/>
          <w:szCs w:val="21"/>
        </w:rPr>
      </w:pPr>
      <w:r>
        <w:rPr>
          <w:rFonts w:hint="eastAsia" w:ascii="宋体" w:hAnsi="宋体"/>
          <w:szCs w:val="21"/>
        </w:rPr>
        <w:t>本标准中的胸廓的结构损伤是指肋骨骨折或缺失。</w:t>
      </w:r>
    </w:p>
    <w:tbl>
      <w:tblPr>
        <w:tblStyle w:val="17"/>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 w:hRule="atLeast"/>
        </w:trPr>
        <w:tc>
          <w:tcPr>
            <w:tcW w:w="7244" w:type="dxa"/>
            <w:shd w:val="clear" w:color="auto" w:fill="auto"/>
          </w:tcPr>
          <w:p>
            <w:pPr>
              <w:pStyle w:val="42"/>
              <w:spacing w:line="360" w:lineRule="auto"/>
              <w:rPr>
                <w:sz w:val="21"/>
                <w:szCs w:val="21"/>
              </w:rPr>
            </w:pPr>
            <w:r>
              <w:rPr>
                <w:rFonts w:hint="eastAsia"/>
                <w:sz w:val="21"/>
                <w:szCs w:val="21"/>
              </w:rPr>
              <w:t>胸部损伤导致大于等于</w:t>
            </w:r>
            <w:r>
              <w:rPr>
                <w:sz w:val="21"/>
                <w:szCs w:val="21"/>
              </w:rPr>
              <w:t>12根肋骨骨折</w:t>
            </w:r>
          </w:p>
        </w:tc>
        <w:tc>
          <w:tcPr>
            <w:tcW w:w="1071" w:type="dxa"/>
            <w:shd w:val="clear" w:color="auto" w:fill="auto"/>
            <w:vAlign w:val="center"/>
          </w:tcPr>
          <w:p>
            <w:pPr>
              <w:pStyle w:val="42"/>
              <w:spacing w:line="360" w:lineRule="auto"/>
              <w:jc w:val="center"/>
              <w:rPr>
                <w:color w:val="000000"/>
                <w:sz w:val="21"/>
                <w:szCs w:val="21"/>
              </w:rPr>
            </w:pPr>
            <w:r>
              <w:rPr>
                <w:color w:val="000000"/>
                <w:sz w:val="21"/>
                <w:szCs w:val="21"/>
              </w:rPr>
              <w:t xml:space="preserve">8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trPr>
        <w:tc>
          <w:tcPr>
            <w:tcW w:w="7244" w:type="dxa"/>
            <w:shd w:val="clear" w:color="auto" w:fill="auto"/>
          </w:tcPr>
          <w:p>
            <w:pPr>
              <w:pStyle w:val="42"/>
              <w:spacing w:line="360" w:lineRule="auto"/>
              <w:rPr>
                <w:sz w:val="21"/>
                <w:szCs w:val="21"/>
              </w:rPr>
            </w:pPr>
            <w:r>
              <w:rPr>
                <w:rFonts w:hint="eastAsia"/>
                <w:sz w:val="21"/>
                <w:szCs w:val="21"/>
              </w:rPr>
              <w:t>胸部损伤导致大于等于</w:t>
            </w:r>
            <w:r>
              <w:rPr>
                <w:sz w:val="21"/>
                <w:szCs w:val="21"/>
              </w:rPr>
              <w:t>8根肋骨骨折</w:t>
            </w:r>
          </w:p>
        </w:tc>
        <w:tc>
          <w:tcPr>
            <w:tcW w:w="1071" w:type="dxa"/>
            <w:shd w:val="clear" w:color="auto" w:fill="auto"/>
            <w:vAlign w:val="center"/>
          </w:tcPr>
          <w:p>
            <w:pPr>
              <w:pStyle w:val="42"/>
              <w:spacing w:line="360" w:lineRule="auto"/>
              <w:jc w:val="center"/>
              <w:rPr>
                <w:color w:val="000000"/>
                <w:sz w:val="21"/>
                <w:szCs w:val="21"/>
              </w:rPr>
            </w:pPr>
            <w:r>
              <w:rPr>
                <w:color w:val="000000"/>
                <w:sz w:val="21"/>
                <w:szCs w:val="21"/>
              </w:rPr>
              <w:t xml:space="preserve">9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胸部损伤导致大于等于</w:t>
            </w:r>
            <w:r>
              <w:rPr>
                <w:sz w:val="21"/>
                <w:szCs w:val="21"/>
              </w:rPr>
              <w:t>4根肋骨缺失</w:t>
            </w:r>
          </w:p>
        </w:tc>
        <w:tc>
          <w:tcPr>
            <w:tcW w:w="1071" w:type="dxa"/>
            <w:shd w:val="clear" w:color="auto" w:fill="auto"/>
            <w:vAlign w:val="center"/>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42"/>
              <w:spacing w:line="360" w:lineRule="auto"/>
              <w:rPr>
                <w:sz w:val="21"/>
                <w:szCs w:val="21"/>
              </w:rPr>
            </w:pPr>
            <w:r>
              <w:rPr>
                <w:rFonts w:hint="eastAsia"/>
                <w:sz w:val="21"/>
                <w:szCs w:val="21"/>
              </w:rPr>
              <w:t>胸部损伤导致大于等于</w:t>
            </w:r>
            <w:r>
              <w:rPr>
                <w:sz w:val="21"/>
                <w:szCs w:val="21"/>
              </w:rPr>
              <w:t>4根肋骨骨折</w:t>
            </w:r>
          </w:p>
        </w:tc>
        <w:tc>
          <w:tcPr>
            <w:tcW w:w="1071" w:type="dxa"/>
            <w:shd w:val="clear" w:color="auto" w:fill="auto"/>
            <w:vAlign w:val="center"/>
          </w:tcPr>
          <w:p>
            <w:pPr>
              <w:pStyle w:val="42"/>
              <w:spacing w:line="360" w:lineRule="auto"/>
              <w:jc w:val="center"/>
              <w:rPr>
                <w:color w:val="000000"/>
                <w:sz w:val="21"/>
                <w:szCs w:val="21"/>
              </w:rPr>
            </w:pPr>
            <w:r>
              <w:rPr>
                <w:color w:val="000000"/>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7244" w:type="dxa"/>
            <w:shd w:val="clear" w:color="auto" w:fill="auto"/>
          </w:tcPr>
          <w:p>
            <w:pPr>
              <w:pStyle w:val="42"/>
              <w:spacing w:line="360" w:lineRule="auto"/>
              <w:rPr>
                <w:sz w:val="21"/>
                <w:szCs w:val="21"/>
              </w:rPr>
            </w:pPr>
            <w:r>
              <w:rPr>
                <w:rFonts w:hint="eastAsia"/>
                <w:sz w:val="21"/>
                <w:szCs w:val="21"/>
              </w:rPr>
              <w:t>胸部损伤导致大于等于</w:t>
            </w:r>
            <w:r>
              <w:rPr>
                <w:sz w:val="21"/>
                <w:szCs w:val="21"/>
              </w:rPr>
              <w:t>2根肋骨缺失</w:t>
            </w:r>
          </w:p>
        </w:tc>
        <w:tc>
          <w:tcPr>
            <w:tcW w:w="1071" w:type="dxa"/>
            <w:shd w:val="clear" w:color="auto" w:fill="auto"/>
          </w:tcPr>
          <w:p>
            <w:pPr>
              <w:pStyle w:val="42"/>
              <w:spacing w:line="360" w:lineRule="auto"/>
              <w:jc w:val="center"/>
              <w:rPr>
                <w:color w:val="000000"/>
                <w:sz w:val="21"/>
                <w:szCs w:val="21"/>
              </w:rPr>
            </w:pPr>
            <w:r>
              <w:rPr>
                <w:color w:val="000000"/>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38" w:name="_Toc356463483"/>
      <w:r>
        <w:rPr>
          <w:rFonts w:hint="eastAsia" w:ascii="宋体" w:hAnsi="宋体" w:eastAsia="宋体"/>
          <w:sz w:val="21"/>
          <w:szCs w:val="21"/>
        </w:rPr>
        <w:t>消化、代谢和内分泌系统有关的结构和功能</w:t>
      </w:r>
      <w:bookmarkEnd w:id="38"/>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39" w:name="_Toc356463484"/>
      <w:r>
        <w:rPr>
          <w:rFonts w:hint="eastAsia" w:ascii="宋体" w:hAnsi="宋体"/>
          <w:sz w:val="21"/>
          <w:szCs w:val="21"/>
        </w:rPr>
        <w:t>咀嚼和吞咽功能障碍</w:t>
      </w:r>
      <w:bookmarkEnd w:id="39"/>
    </w:p>
    <w:p>
      <w:pPr>
        <w:spacing w:line="360" w:lineRule="auto"/>
        <w:ind w:firstLine="420" w:firstLineChars="200"/>
        <w:contextualSpacing/>
        <w:rPr>
          <w:rFonts w:ascii="宋体" w:hAnsi="宋体"/>
          <w:szCs w:val="21"/>
        </w:rPr>
      </w:pPr>
      <w:r>
        <w:rPr>
          <w:rFonts w:hint="eastAsia" w:ascii="宋体" w:hAnsi="宋体"/>
          <w:szCs w:val="21"/>
        </w:rPr>
        <w:t>咀嚼是指用后牙（如磨牙）碾、磨或咀嚼食物的功能。吞咽是指通过口腔、咽和食道把食物和饮料以适宜的频率和速度送入胃中的功能。</w:t>
      </w:r>
    </w:p>
    <w:tbl>
      <w:tblPr>
        <w:tblStyle w:val="17"/>
        <w:tblW w:w="8287"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42"/>
              <w:spacing w:line="360" w:lineRule="auto"/>
              <w:rPr>
                <w:sz w:val="21"/>
                <w:szCs w:val="21"/>
              </w:rPr>
            </w:pPr>
            <w:r>
              <w:rPr>
                <w:rFonts w:hint="eastAsia"/>
                <w:sz w:val="21"/>
                <w:szCs w:val="21"/>
              </w:rPr>
              <w:t>咀嚼、吞咽功能完全丧失</w:t>
            </w:r>
          </w:p>
        </w:tc>
        <w:tc>
          <w:tcPr>
            <w:tcW w:w="1043" w:type="dxa"/>
            <w:shd w:val="clear" w:color="auto" w:fill="auto"/>
          </w:tcPr>
          <w:p>
            <w:pPr>
              <w:pStyle w:val="42"/>
              <w:spacing w:line="360" w:lineRule="auto"/>
              <w:rPr>
                <w:color w:val="000000"/>
                <w:sz w:val="21"/>
                <w:szCs w:val="21"/>
              </w:rPr>
            </w:pPr>
            <w:r>
              <w:rPr>
                <w:color w:val="000000"/>
                <w:sz w:val="21"/>
                <w:szCs w:val="21"/>
              </w:rPr>
              <w:t>1级</w:t>
            </w:r>
          </w:p>
        </w:tc>
      </w:tr>
    </w:tbl>
    <w:p>
      <w:pPr>
        <w:pStyle w:val="40"/>
        <w:spacing w:line="360" w:lineRule="auto"/>
        <w:rPr>
          <w:rFonts w:ascii="宋体" w:hAnsi="宋体" w:eastAsia="宋体"/>
          <w:sz w:val="21"/>
          <w:szCs w:val="21"/>
        </w:rPr>
      </w:pPr>
      <w:r>
        <w:rPr>
          <w:rFonts w:hint="eastAsia" w:ascii="宋体" w:hAnsi="宋体" w:eastAsia="宋体"/>
          <w:sz w:val="21"/>
          <w:szCs w:val="21"/>
        </w:rPr>
        <w:t>注：咀嚼、吞咽功能丧失指由于牙齿以外的原因引起器质障碍或机能障碍，以致不能作咀嚼、吞咽运动，除流质食物外不能摄取或吞咽的状态。</w:t>
      </w:r>
    </w:p>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0" w:name="_Toc356463485"/>
      <w:r>
        <w:rPr>
          <w:rFonts w:hint="eastAsia" w:ascii="宋体" w:hAnsi="宋体"/>
          <w:sz w:val="21"/>
          <w:szCs w:val="21"/>
        </w:rPr>
        <w:t>肠的结构损伤</w:t>
      </w:r>
      <w:bookmarkEnd w:id="40"/>
    </w:p>
    <w:tbl>
      <w:tblPr>
        <w:tblStyle w:val="17"/>
        <w:tblW w:w="8346" w:type="dxa"/>
        <w:tblInd w:w="80" w:type="dxa"/>
        <w:tblLayout w:type="fixed"/>
        <w:tblCellMar>
          <w:top w:w="0" w:type="dxa"/>
          <w:left w:w="108" w:type="dxa"/>
          <w:bottom w:w="0" w:type="dxa"/>
          <w:right w:w="108" w:type="dxa"/>
        </w:tblCellMar>
      </w:tblPr>
      <w:tblGrid>
        <w:gridCol w:w="7258"/>
        <w:gridCol w:w="1088"/>
      </w:tblGrid>
      <w:tr>
        <w:tblPrEx>
          <w:tblLayout w:type="fixed"/>
          <w:tblCellMar>
            <w:top w:w="0" w:type="dxa"/>
            <w:left w:w="108" w:type="dxa"/>
            <w:bottom w:w="0" w:type="dxa"/>
            <w:right w:w="108" w:type="dxa"/>
          </w:tblCellMar>
        </w:tblPrEx>
        <w:trPr>
          <w:trHeight w:val="157"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腹部损伤导致小肠切除大于等于</w:t>
            </w:r>
            <w:r>
              <w:rPr>
                <w:sz w:val="21"/>
                <w:szCs w:val="21"/>
              </w:rPr>
              <w:t>90%</w:t>
            </w:r>
          </w:p>
        </w:tc>
        <w:tc>
          <w:tcPr>
            <w:tcW w:w="1088" w:type="dxa"/>
            <w:tcBorders>
              <w:top w:val="single" w:color="auto" w:sz="4" w:space="0"/>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 xml:space="preserve">1 </w:t>
            </w:r>
            <w:r>
              <w:rPr>
                <w:rFonts w:hint="eastAsia"/>
                <w:sz w:val="21"/>
                <w:szCs w:val="21"/>
              </w:rPr>
              <w:t>级</w:t>
            </w:r>
          </w:p>
        </w:tc>
      </w:tr>
      <w:tr>
        <w:tblPrEx>
          <w:tblLayout w:type="fixed"/>
          <w:tblCellMar>
            <w:top w:w="0" w:type="dxa"/>
            <w:left w:w="108" w:type="dxa"/>
            <w:bottom w:w="0" w:type="dxa"/>
            <w:right w:w="108" w:type="dxa"/>
          </w:tblCellMar>
        </w:tblPrEx>
        <w:trPr>
          <w:trHeight w:val="81"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腹部损伤导致小肠切除大于等于</w:t>
            </w:r>
            <w:r>
              <w:rPr>
                <w:sz w:val="21"/>
                <w:szCs w:val="21"/>
              </w:rPr>
              <w:t>75%，合并短肠综合症</w:t>
            </w:r>
          </w:p>
        </w:tc>
        <w:tc>
          <w:tcPr>
            <w:tcW w:w="1088" w:type="dxa"/>
            <w:tcBorders>
              <w:top w:val="single" w:color="auto" w:sz="4" w:space="0"/>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2级</w:t>
            </w:r>
          </w:p>
        </w:tc>
      </w:tr>
      <w:tr>
        <w:tblPrEx>
          <w:tblLayout w:type="fixed"/>
          <w:tblCellMar>
            <w:top w:w="0" w:type="dxa"/>
            <w:left w:w="108" w:type="dxa"/>
            <w:bottom w:w="0" w:type="dxa"/>
            <w:right w:w="108" w:type="dxa"/>
          </w:tblCellMar>
        </w:tblPrEx>
        <w:trPr>
          <w:trHeight w:val="18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腹部损伤导致小肠切除大于等于</w:t>
            </w:r>
            <w:r>
              <w:rPr>
                <w:sz w:val="21"/>
                <w:szCs w:val="21"/>
              </w:rPr>
              <w:t>75%</w:t>
            </w:r>
          </w:p>
        </w:tc>
        <w:tc>
          <w:tcPr>
            <w:tcW w:w="1088" w:type="dxa"/>
            <w:tcBorders>
              <w:top w:val="single" w:color="auto" w:sz="4" w:space="0"/>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13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腹部或骨盆部损伤导致全结肠、直肠、肛门结构切除，回肠造瘘</w:t>
            </w:r>
          </w:p>
        </w:tc>
        <w:tc>
          <w:tcPr>
            <w:tcW w:w="1088" w:type="dxa"/>
            <w:tcBorders>
              <w:top w:val="single" w:color="auto" w:sz="4" w:space="0"/>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腹部或骨盆部损伤导致直肠、肛门切除，且结肠部分切除，结肠造瘘</w:t>
            </w:r>
          </w:p>
        </w:tc>
        <w:tc>
          <w:tcPr>
            <w:tcW w:w="1088"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腹部损伤导致小肠切除大于等于</w:t>
            </w:r>
            <w:r>
              <w:rPr>
                <w:sz w:val="21"/>
                <w:szCs w:val="21"/>
              </w:rPr>
              <w:t>50%,且包括回盲部切除</w:t>
            </w:r>
          </w:p>
        </w:tc>
        <w:tc>
          <w:tcPr>
            <w:tcW w:w="1088"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113"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腹部损伤导致小肠切除大于等于</w:t>
            </w:r>
            <w:r>
              <w:rPr>
                <w:sz w:val="21"/>
                <w:szCs w:val="21"/>
              </w:rPr>
              <w:t>50%</w:t>
            </w:r>
          </w:p>
        </w:tc>
        <w:tc>
          <w:tcPr>
            <w:tcW w:w="1088"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207"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腹部损伤导致结肠切除大于等于</w:t>
            </w:r>
            <w:r>
              <w:rPr>
                <w:sz w:val="21"/>
                <w:szCs w:val="21"/>
              </w:rPr>
              <w:t>50%</w:t>
            </w:r>
          </w:p>
        </w:tc>
        <w:tc>
          <w:tcPr>
            <w:tcW w:w="1088"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177"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腹部损伤导致结肠部分切除</w:t>
            </w:r>
          </w:p>
        </w:tc>
        <w:tc>
          <w:tcPr>
            <w:tcW w:w="1088"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骨盆部损伤导致直肠、肛门损伤，且遗留永久性乙状结肠造口</w:t>
            </w:r>
          </w:p>
        </w:tc>
        <w:tc>
          <w:tcPr>
            <w:tcW w:w="1088"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9级</w:t>
            </w:r>
          </w:p>
        </w:tc>
      </w:tr>
      <w:tr>
        <w:tblPrEx>
          <w:tblLayout w:type="fixed"/>
          <w:tblCellMar>
            <w:top w:w="0" w:type="dxa"/>
            <w:left w:w="108" w:type="dxa"/>
            <w:bottom w:w="0" w:type="dxa"/>
            <w:right w:w="108" w:type="dxa"/>
          </w:tblCellMar>
        </w:tblPrEx>
        <w:trPr>
          <w:trHeight w:val="185"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骨盆部损伤导致直肠、肛门损伤，且瘢痕形成</w:t>
            </w:r>
          </w:p>
        </w:tc>
        <w:tc>
          <w:tcPr>
            <w:tcW w:w="1088"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1" w:name="_Toc356463486"/>
      <w:r>
        <w:rPr>
          <w:rFonts w:hint="eastAsia" w:ascii="宋体" w:hAnsi="宋体"/>
          <w:sz w:val="21"/>
          <w:szCs w:val="21"/>
        </w:rPr>
        <w:t>胃结构损伤</w:t>
      </w:r>
      <w:bookmarkEnd w:id="41"/>
    </w:p>
    <w:tbl>
      <w:tblPr>
        <w:tblStyle w:val="17"/>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7258" w:type="dxa"/>
            <w:shd w:val="clear" w:color="auto" w:fill="auto"/>
          </w:tcPr>
          <w:p>
            <w:pPr>
              <w:pStyle w:val="42"/>
              <w:spacing w:line="360" w:lineRule="auto"/>
              <w:rPr>
                <w:sz w:val="21"/>
                <w:szCs w:val="21"/>
              </w:rPr>
            </w:pPr>
            <w:r>
              <w:rPr>
                <w:rFonts w:hint="eastAsia"/>
                <w:sz w:val="21"/>
                <w:szCs w:val="21"/>
              </w:rPr>
              <w:t>腹部损伤导致全胃切除</w:t>
            </w:r>
          </w:p>
        </w:tc>
        <w:tc>
          <w:tcPr>
            <w:tcW w:w="1043" w:type="dxa"/>
            <w:shd w:val="clear" w:color="auto" w:fill="auto"/>
          </w:tcPr>
          <w:p>
            <w:pPr>
              <w:pStyle w:val="42"/>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42"/>
              <w:spacing w:line="360" w:lineRule="auto"/>
              <w:rPr>
                <w:sz w:val="21"/>
                <w:szCs w:val="21"/>
              </w:rPr>
            </w:pPr>
            <w:r>
              <w:rPr>
                <w:rFonts w:hint="eastAsia"/>
                <w:sz w:val="21"/>
                <w:szCs w:val="21"/>
              </w:rPr>
              <w:t>腹部损伤导致胃切除大于等于</w:t>
            </w:r>
            <w:r>
              <w:rPr>
                <w:sz w:val="21"/>
                <w:szCs w:val="21"/>
              </w:rPr>
              <w:t>50%</w:t>
            </w:r>
          </w:p>
        </w:tc>
        <w:tc>
          <w:tcPr>
            <w:tcW w:w="1043" w:type="dxa"/>
            <w:shd w:val="clear" w:color="auto" w:fill="auto"/>
          </w:tcPr>
          <w:p>
            <w:pPr>
              <w:pStyle w:val="42"/>
              <w:spacing w:line="360" w:lineRule="auto"/>
              <w:jc w:val="center"/>
              <w:rPr>
                <w:color w:val="000000"/>
                <w:sz w:val="21"/>
                <w:szCs w:val="21"/>
              </w:rPr>
            </w:pPr>
            <w:r>
              <w:rPr>
                <w:color w:val="000000"/>
                <w:sz w:val="21"/>
                <w:szCs w:val="21"/>
              </w:rPr>
              <w:t>7级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2" w:name="_Toc356463487"/>
      <w:r>
        <w:rPr>
          <w:rFonts w:hint="eastAsia" w:ascii="宋体" w:hAnsi="宋体"/>
          <w:sz w:val="21"/>
          <w:szCs w:val="21"/>
        </w:rPr>
        <w:t>胰结构损伤或代谢功能障碍</w:t>
      </w:r>
      <w:bookmarkEnd w:id="42"/>
    </w:p>
    <w:p>
      <w:pPr>
        <w:spacing w:line="360" w:lineRule="auto"/>
        <w:ind w:firstLine="420" w:firstLineChars="200"/>
        <w:contextualSpacing/>
        <w:rPr>
          <w:rFonts w:ascii="宋体" w:hAnsi="宋体"/>
          <w:szCs w:val="21"/>
        </w:rPr>
      </w:pPr>
      <w:r>
        <w:rPr>
          <w:rFonts w:hint="eastAsia" w:ascii="宋体" w:hAnsi="宋体"/>
          <w:szCs w:val="21"/>
        </w:rPr>
        <w:t>本标准中的代谢功能障碍是指胰岛素依赖。</w:t>
      </w:r>
    </w:p>
    <w:tbl>
      <w:tblPr>
        <w:tblStyle w:val="17"/>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42"/>
              <w:spacing w:line="360" w:lineRule="auto"/>
              <w:rPr>
                <w:sz w:val="21"/>
                <w:szCs w:val="21"/>
              </w:rPr>
            </w:pPr>
            <w:r>
              <w:rPr>
                <w:rFonts w:hint="eastAsia"/>
                <w:sz w:val="21"/>
                <w:szCs w:val="21"/>
              </w:rPr>
              <w:t>腹部损伤导致胰完全切除</w:t>
            </w:r>
          </w:p>
        </w:tc>
        <w:tc>
          <w:tcPr>
            <w:tcW w:w="1043" w:type="dxa"/>
            <w:shd w:val="clear" w:color="auto" w:fill="auto"/>
          </w:tcPr>
          <w:p>
            <w:pPr>
              <w:pStyle w:val="42"/>
              <w:spacing w:line="360" w:lineRule="auto"/>
              <w:jc w:val="center"/>
              <w:rPr>
                <w:color w:val="000000"/>
                <w:sz w:val="21"/>
                <w:szCs w:val="21"/>
              </w:rPr>
            </w:pPr>
            <w:r>
              <w:rPr>
                <w:color w:val="000000"/>
                <w:sz w:val="21"/>
                <w:szCs w:val="21"/>
              </w:rPr>
              <w:t xml:space="preserve">1 </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58" w:type="dxa"/>
            <w:shd w:val="clear" w:color="auto" w:fill="auto"/>
          </w:tcPr>
          <w:p>
            <w:pPr>
              <w:pStyle w:val="42"/>
              <w:spacing w:line="360" w:lineRule="auto"/>
              <w:rPr>
                <w:sz w:val="21"/>
                <w:szCs w:val="21"/>
              </w:rPr>
            </w:pPr>
            <w:r>
              <w:rPr>
                <w:rFonts w:hint="eastAsia"/>
                <w:sz w:val="21"/>
                <w:szCs w:val="21"/>
              </w:rPr>
              <w:t>腹部损伤导致胰切除大于等于</w:t>
            </w:r>
            <w:r>
              <w:rPr>
                <w:sz w:val="21"/>
                <w:szCs w:val="21"/>
              </w:rPr>
              <w:t>50%，且伴有胰岛素依赖</w:t>
            </w:r>
          </w:p>
        </w:tc>
        <w:tc>
          <w:tcPr>
            <w:tcW w:w="1043" w:type="dxa"/>
            <w:shd w:val="clear" w:color="auto" w:fill="auto"/>
          </w:tcPr>
          <w:p>
            <w:pPr>
              <w:pStyle w:val="42"/>
              <w:spacing w:line="360" w:lineRule="auto"/>
              <w:jc w:val="center"/>
              <w:rPr>
                <w:color w:val="000000"/>
                <w:sz w:val="21"/>
                <w:szCs w:val="21"/>
              </w:rPr>
            </w:pPr>
            <w:r>
              <w:rPr>
                <w:color w:val="000000"/>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42"/>
              <w:spacing w:line="360" w:lineRule="auto"/>
              <w:rPr>
                <w:sz w:val="21"/>
                <w:szCs w:val="21"/>
              </w:rPr>
            </w:pPr>
            <w:r>
              <w:rPr>
                <w:rFonts w:hint="eastAsia"/>
                <w:sz w:val="21"/>
                <w:szCs w:val="21"/>
              </w:rPr>
              <w:t>腹部损伤导致胰头、十二指肠切除</w:t>
            </w:r>
          </w:p>
        </w:tc>
        <w:tc>
          <w:tcPr>
            <w:tcW w:w="1043" w:type="dxa"/>
            <w:shd w:val="clear" w:color="auto" w:fill="auto"/>
          </w:tcPr>
          <w:p>
            <w:pPr>
              <w:pStyle w:val="42"/>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42"/>
              <w:spacing w:line="360" w:lineRule="auto"/>
              <w:rPr>
                <w:sz w:val="21"/>
                <w:szCs w:val="21"/>
              </w:rPr>
            </w:pPr>
            <w:r>
              <w:rPr>
                <w:rFonts w:hint="eastAsia"/>
                <w:sz w:val="21"/>
                <w:szCs w:val="21"/>
              </w:rPr>
              <w:t>腹部损伤导致胰切除大于等于</w:t>
            </w:r>
            <w:r>
              <w:rPr>
                <w:sz w:val="21"/>
                <w:szCs w:val="21"/>
              </w:rPr>
              <w:t>50%</w:t>
            </w:r>
          </w:p>
        </w:tc>
        <w:tc>
          <w:tcPr>
            <w:tcW w:w="1043" w:type="dxa"/>
            <w:shd w:val="clear" w:color="auto" w:fill="auto"/>
          </w:tcPr>
          <w:p>
            <w:pPr>
              <w:pStyle w:val="42"/>
              <w:spacing w:line="360" w:lineRule="auto"/>
              <w:jc w:val="center"/>
              <w:rPr>
                <w:color w:val="000000"/>
                <w:sz w:val="21"/>
                <w:szCs w:val="21"/>
              </w:rPr>
            </w:pPr>
            <w:r>
              <w:rPr>
                <w:color w:val="000000"/>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58" w:type="dxa"/>
            <w:shd w:val="clear" w:color="auto" w:fill="auto"/>
          </w:tcPr>
          <w:p>
            <w:pPr>
              <w:pStyle w:val="42"/>
              <w:spacing w:line="360" w:lineRule="auto"/>
              <w:rPr>
                <w:sz w:val="21"/>
                <w:szCs w:val="21"/>
              </w:rPr>
            </w:pPr>
            <w:r>
              <w:rPr>
                <w:rFonts w:hint="eastAsia"/>
                <w:sz w:val="21"/>
                <w:szCs w:val="21"/>
              </w:rPr>
              <w:t>腹部损伤导致胰部分切除</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8级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3" w:name="_Toc356463488"/>
      <w:r>
        <w:rPr>
          <w:rFonts w:hint="eastAsia" w:ascii="宋体" w:hAnsi="宋体"/>
          <w:sz w:val="21"/>
          <w:szCs w:val="21"/>
        </w:rPr>
        <w:t>肝结构损伤</w:t>
      </w:r>
      <w:bookmarkEnd w:id="43"/>
    </w:p>
    <w:tbl>
      <w:tblPr>
        <w:tblStyle w:val="17"/>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7258" w:type="dxa"/>
            <w:shd w:val="clear" w:color="auto" w:fill="auto"/>
          </w:tcPr>
          <w:p>
            <w:pPr>
              <w:pStyle w:val="42"/>
              <w:spacing w:line="360" w:lineRule="auto"/>
              <w:rPr>
                <w:sz w:val="21"/>
                <w:szCs w:val="21"/>
              </w:rPr>
            </w:pPr>
            <w:r>
              <w:rPr>
                <w:rFonts w:hint="eastAsia"/>
                <w:sz w:val="21"/>
                <w:szCs w:val="21"/>
              </w:rPr>
              <w:t>腹部损伤导致肝切除大于等于</w:t>
            </w:r>
            <w:r>
              <w:rPr>
                <w:sz w:val="21"/>
                <w:szCs w:val="21"/>
              </w:rPr>
              <w:t>75%</w:t>
            </w:r>
          </w:p>
        </w:tc>
        <w:tc>
          <w:tcPr>
            <w:tcW w:w="1043" w:type="dxa"/>
            <w:shd w:val="clear" w:color="auto" w:fill="auto"/>
          </w:tcPr>
          <w:p>
            <w:pPr>
              <w:pStyle w:val="42"/>
              <w:spacing w:line="360" w:lineRule="auto"/>
              <w:jc w:val="center"/>
              <w:rPr>
                <w:color w:val="000000"/>
                <w:sz w:val="21"/>
                <w:szCs w:val="21"/>
              </w:rPr>
            </w:pPr>
            <w:r>
              <w:rPr>
                <w:color w:val="000000"/>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7258" w:type="dxa"/>
            <w:shd w:val="clear" w:color="auto" w:fill="auto"/>
          </w:tcPr>
          <w:p>
            <w:pPr>
              <w:pStyle w:val="42"/>
              <w:spacing w:line="360" w:lineRule="auto"/>
              <w:rPr>
                <w:sz w:val="21"/>
                <w:szCs w:val="21"/>
              </w:rPr>
            </w:pPr>
            <w:r>
              <w:rPr>
                <w:rFonts w:hint="eastAsia"/>
                <w:sz w:val="21"/>
                <w:szCs w:val="21"/>
              </w:rPr>
              <w:t>腹部损伤导致肝切除大于等于</w:t>
            </w:r>
            <w:r>
              <w:rPr>
                <w:sz w:val="21"/>
                <w:szCs w:val="21"/>
              </w:rPr>
              <w:t>50%</w:t>
            </w:r>
          </w:p>
        </w:tc>
        <w:tc>
          <w:tcPr>
            <w:tcW w:w="1043" w:type="dxa"/>
            <w:shd w:val="clear" w:color="auto" w:fill="auto"/>
          </w:tcPr>
          <w:p>
            <w:pPr>
              <w:pStyle w:val="42"/>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 w:hRule="atLeast"/>
        </w:trPr>
        <w:tc>
          <w:tcPr>
            <w:tcW w:w="7258" w:type="dxa"/>
            <w:shd w:val="clear" w:color="auto" w:fill="auto"/>
          </w:tcPr>
          <w:p>
            <w:pPr>
              <w:pStyle w:val="42"/>
              <w:spacing w:line="360" w:lineRule="auto"/>
              <w:rPr>
                <w:sz w:val="21"/>
                <w:szCs w:val="21"/>
              </w:rPr>
            </w:pPr>
            <w:r>
              <w:rPr>
                <w:rFonts w:hint="eastAsia"/>
                <w:sz w:val="21"/>
                <w:szCs w:val="21"/>
              </w:rPr>
              <w:t>腹部损伤导致肝部分切除</w:t>
            </w:r>
          </w:p>
        </w:tc>
        <w:tc>
          <w:tcPr>
            <w:tcW w:w="1043" w:type="dxa"/>
            <w:shd w:val="clear" w:color="auto" w:fill="auto"/>
          </w:tcPr>
          <w:p>
            <w:pPr>
              <w:pStyle w:val="42"/>
              <w:spacing w:line="360" w:lineRule="auto"/>
              <w:jc w:val="center"/>
              <w:rPr>
                <w:color w:val="000000"/>
                <w:sz w:val="21"/>
                <w:szCs w:val="21"/>
              </w:rPr>
            </w:pPr>
            <w:r>
              <w:rPr>
                <w:color w:val="000000"/>
                <w:sz w:val="21"/>
                <w:szCs w:val="21"/>
              </w:rPr>
              <w:t>8级</w:t>
            </w:r>
          </w:p>
        </w:tc>
      </w:tr>
    </w:tbl>
    <w:p>
      <w:pPr>
        <w:spacing w:line="360" w:lineRule="auto"/>
        <w:ind w:firstLine="420" w:firstLineChars="200"/>
        <w:contextualSpacing/>
        <w:rPr>
          <w:rFonts w:ascii="宋体" w:hAnsi="宋体"/>
          <w:szCs w:val="21"/>
        </w:rPr>
      </w:pP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44" w:name="_Toc356463489"/>
      <w:r>
        <w:rPr>
          <w:rFonts w:hint="eastAsia" w:ascii="宋体" w:hAnsi="宋体" w:eastAsia="宋体"/>
          <w:sz w:val="21"/>
          <w:szCs w:val="21"/>
        </w:rPr>
        <w:t>泌尿和生殖系统有关的结构和功能</w:t>
      </w:r>
      <w:bookmarkEnd w:id="44"/>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5" w:name="OLE_LINK17"/>
      <w:bookmarkStart w:id="46" w:name="_Toc356463490"/>
      <w:r>
        <w:rPr>
          <w:rFonts w:hint="eastAsia" w:ascii="宋体" w:hAnsi="宋体"/>
          <w:sz w:val="21"/>
          <w:szCs w:val="21"/>
        </w:rPr>
        <w:t>泌尿系统</w:t>
      </w:r>
      <w:bookmarkEnd w:id="45"/>
      <w:r>
        <w:rPr>
          <w:rFonts w:hint="eastAsia" w:ascii="宋体" w:hAnsi="宋体"/>
          <w:sz w:val="21"/>
          <w:szCs w:val="21"/>
        </w:rPr>
        <w:t>的结构损伤</w:t>
      </w:r>
      <w:bookmarkEnd w:id="46"/>
    </w:p>
    <w:tbl>
      <w:tblPr>
        <w:tblStyle w:val="17"/>
        <w:tblW w:w="8301"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7258" w:type="dxa"/>
            <w:shd w:val="clear" w:color="auto" w:fill="auto"/>
            <w:vAlign w:val="center"/>
          </w:tcPr>
          <w:p>
            <w:pPr>
              <w:pStyle w:val="42"/>
              <w:spacing w:line="360" w:lineRule="auto"/>
              <w:rPr>
                <w:sz w:val="21"/>
                <w:szCs w:val="21"/>
              </w:rPr>
            </w:pPr>
            <w:r>
              <w:rPr>
                <w:rFonts w:hint="eastAsia"/>
                <w:sz w:val="21"/>
                <w:szCs w:val="21"/>
              </w:rPr>
              <w:t>腹部损伤导致双侧肾切除</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7258" w:type="dxa"/>
            <w:shd w:val="clear" w:color="auto" w:fill="auto"/>
            <w:vAlign w:val="center"/>
          </w:tcPr>
          <w:p>
            <w:pPr>
              <w:pStyle w:val="42"/>
              <w:spacing w:line="360" w:lineRule="auto"/>
              <w:rPr>
                <w:sz w:val="21"/>
                <w:szCs w:val="21"/>
              </w:rPr>
            </w:pPr>
            <w:r>
              <w:rPr>
                <w:rFonts w:hint="eastAsia"/>
                <w:sz w:val="21"/>
                <w:szCs w:val="21"/>
              </w:rPr>
              <w:t>腹部损伤导致孤肾切除</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骨盆部损伤导致双侧输尿管缺失</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骨盆部损伤导致双侧输尿管闭锁</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骨盆部损伤导致一侧输尿管缺失，另一侧输尿管闭锁</w:t>
            </w:r>
            <w:r>
              <w:rPr>
                <w:sz w:val="21"/>
                <w:szCs w:val="21"/>
              </w:rPr>
              <w:tab/>
            </w:r>
          </w:p>
        </w:tc>
        <w:tc>
          <w:tcPr>
            <w:tcW w:w="1043" w:type="dxa"/>
            <w:shd w:val="clear" w:color="auto" w:fill="auto"/>
            <w:vAlign w:val="center"/>
          </w:tcPr>
          <w:p>
            <w:pPr>
              <w:pStyle w:val="42"/>
              <w:spacing w:line="360" w:lineRule="auto"/>
              <w:jc w:val="center"/>
              <w:rPr>
                <w:color w:val="000000"/>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骨盆部损伤导致膀胱切除</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骨盆部损伤导致尿道闭锁</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5</w:t>
            </w:r>
            <w:r>
              <w:rPr>
                <w:rFonts w:hint="eastAsia"/>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骨盆部损伤导致一侧输尿管缺失，另一侧输尿管严重狭窄</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骨盆部损伤导致一侧输尿管闭锁，另一侧输尿管严重狭窄</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腹部损伤导致一侧肾切除</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骨盆部损伤导致双侧输尿管严重狭窄</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骨盆部损伤导致一侧输尿管缺失，另一侧输尿管狭窄</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骨盆部损伤导致一侧输尿管闭锁，另一侧输尿管狭窄</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腹部损伤导致一侧肾部分切除</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骨盆部损伤导致一侧输尿管缺失</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骨盆部损伤导致一侧输尿管闭锁</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骨盆部损伤导致尿道狭窄</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骨盆部损伤导致膀胱部分切除</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腹部损伤导致肾破裂修补</w:t>
            </w:r>
          </w:p>
        </w:tc>
        <w:tc>
          <w:tcPr>
            <w:tcW w:w="1043"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骨盆部损伤导致一侧输尿管严重狭窄</w:t>
            </w:r>
          </w:p>
        </w:tc>
        <w:tc>
          <w:tcPr>
            <w:tcW w:w="1043"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58" w:type="dxa"/>
            <w:shd w:val="clear" w:color="auto" w:fill="auto"/>
            <w:vAlign w:val="center"/>
          </w:tcPr>
          <w:p>
            <w:pPr>
              <w:pStyle w:val="42"/>
              <w:spacing w:line="360" w:lineRule="auto"/>
              <w:rPr>
                <w:sz w:val="21"/>
                <w:szCs w:val="21"/>
              </w:rPr>
            </w:pPr>
            <w:r>
              <w:rPr>
                <w:rFonts w:hint="eastAsia"/>
                <w:sz w:val="21"/>
                <w:szCs w:val="21"/>
              </w:rPr>
              <w:t>骨盆部损伤导致膀胱破裂修补</w:t>
            </w:r>
          </w:p>
        </w:tc>
        <w:tc>
          <w:tcPr>
            <w:tcW w:w="1043" w:type="dxa"/>
            <w:shd w:val="clear" w:color="auto" w:fill="auto"/>
            <w:vAlign w:val="center"/>
          </w:tcPr>
          <w:p>
            <w:pPr>
              <w:pStyle w:val="42"/>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7" w:name="_Toc356463491"/>
      <w:r>
        <w:rPr>
          <w:rFonts w:hint="eastAsia" w:ascii="宋体" w:hAnsi="宋体"/>
          <w:sz w:val="21"/>
          <w:szCs w:val="21"/>
        </w:rPr>
        <w:t>生殖系统的结构损伤</w:t>
      </w:r>
      <w:bookmarkEnd w:id="47"/>
    </w:p>
    <w:tbl>
      <w:tblPr>
        <w:tblStyle w:val="17"/>
        <w:tblW w:w="8329" w:type="dxa"/>
        <w:tblInd w:w="80" w:type="dxa"/>
        <w:tblLayout w:type="fixed"/>
        <w:tblCellMar>
          <w:top w:w="0" w:type="dxa"/>
          <w:left w:w="108" w:type="dxa"/>
          <w:bottom w:w="0" w:type="dxa"/>
          <w:right w:w="108" w:type="dxa"/>
        </w:tblCellMar>
      </w:tblPr>
      <w:tblGrid>
        <w:gridCol w:w="7258"/>
        <w:gridCol w:w="1071"/>
      </w:tblGrid>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会阴部损伤导致双侧睾丸缺失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会阴部损伤导致双侧睾丸完全萎缩</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275"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会阴部损伤导致一侧睾丸缺失，另一侧睾丸完全萎缩</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会阴部损伤导致阴茎体完全缺失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会阴部损伤导致阴道闭锁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会阴部损伤导致阴茎体缺失大于</w:t>
            </w:r>
            <w:r>
              <w:rPr>
                <w:sz w:val="21"/>
                <w:szCs w:val="21"/>
              </w:rPr>
              <w:t>50%</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会阴部损伤导致双侧输精管缺失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会阴部损伤导致双侧输精管闭锁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64"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会阴部损伤导致一侧输精管缺失，另一侧输精管闭锁</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胸部损伤导致女性双侧乳房缺失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196"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骨盆部损伤导致子宫切除</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87"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胸部损伤导致女性一侧乳房缺失，另一侧乳房部分缺失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70" w:hRule="atLeast"/>
        </w:trPr>
        <w:tc>
          <w:tcPr>
            <w:tcW w:w="7258"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胸部损伤导致女性一侧乳房缺失</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9级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骨盆部损伤导致子宫部分切除</w:t>
            </w:r>
          </w:p>
        </w:tc>
        <w:tc>
          <w:tcPr>
            <w:tcW w:w="1071"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9级</w:t>
            </w:r>
          </w:p>
        </w:tc>
      </w:tr>
      <w:tr>
        <w:tblPrEx>
          <w:tblLayout w:type="fixed"/>
          <w:tblCellMar>
            <w:top w:w="0" w:type="dxa"/>
            <w:left w:w="108" w:type="dxa"/>
            <w:bottom w:w="0" w:type="dxa"/>
            <w:right w:w="108" w:type="dxa"/>
          </w:tblCellMar>
        </w:tblPrEx>
        <w:trPr>
          <w:trHeight w:val="64"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骨盆部损伤导致子宫破裂修补</w:t>
            </w:r>
          </w:p>
        </w:tc>
        <w:tc>
          <w:tcPr>
            <w:tcW w:w="1071" w:type="dxa"/>
            <w:tcBorders>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会阴部损伤导致一侧睾丸缺失</w:t>
            </w:r>
          </w:p>
        </w:tc>
        <w:tc>
          <w:tcPr>
            <w:tcW w:w="1071"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会阴部损伤导致一侧睾丸完全萎缩</w:t>
            </w:r>
          </w:p>
        </w:tc>
        <w:tc>
          <w:tcPr>
            <w:tcW w:w="1071" w:type="dxa"/>
            <w:tcBorders>
              <w:top w:val="nil"/>
              <w:left w:val="nil"/>
              <w:bottom w:val="single" w:color="auto" w:sz="4" w:space="0"/>
              <w:right w:val="single" w:color="auto" w:sz="4" w:space="0"/>
            </w:tcBorders>
            <w:shd w:val="clear" w:color="auto" w:fill="auto"/>
          </w:tcPr>
          <w:p>
            <w:pPr>
              <w:pStyle w:val="42"/>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会阴部损伤导致一侧输精管缺失</w:t>
            </w:r>
          </w:p>
        </w:tc>
        <w:tc>
          <w:tcPr>
            <w:tcW w:w="1071"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10级</w:t>
            </w:r>
          </w:p>
        </w:tc>
      </w:tr>
      <w:tr>
        <w:tblPrEx>
          <w:tblLayout w:type="fixed"/>
          <w:tblCellMar>
            <w:top w:w="0" w:type="dxa"/>
            <w:left w:w="108" w:type="dxa"/>
            <w:bottom w:w="0" w:type="dxa"/>
            <w:right w:w="108" w:type="dxa"/>
          </w:tblCellMar>
        </w:tblPrEx>
        <w:trPr>
          <w:trHeight w:val="70" w:hRule="atLeast"/>
        </w:trPr>
        <w:tc>
          <w:tcPr>
            <w:tcW w:w="7258"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会阴部损伤导致一侧输精管闭锁</w:t>
            </w:r>
          </w:p>
        </w:tc>
        <w:tc>
          <w:tcPr>
            <w:tcW w:w="1071"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48" w:name="_Toc356463492"/>
      <w:r>
        <w:rPr>
          <w:rFonts w:hint="eastAsia" w:ascii="宋体" w:hAnsi="宋体" w:eastAsia="宋体"/>
          <w:sz w:val="21"/>
          <w:szCs w:val="21"/>
        </w:rPr>
        <w:t>神经肌肉骨骼和运动有关的结构和功能</w:t>
      </w:r>
      <w:bookmarkEnd w:id="48"/>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49" w:name="_Toc356463493"/>
      <w:r>
        <w:rPr>
          <w:rFonts w:hint="eastAsia" w:ascii="宋体" w:hAnsi="宋体"/>
          <w:sz w:val="21"/>
          <w:szCs w:val="21"/>
        </w:rPr>
        <w:t>头颈部的结构损伤</w:t>
      </w:r>
      <w:bookmarkEnd w:id="49"/>
    </w:p>
    <w:tbl>
      <w:tblPr>
        <w:tblStyle w:val="17"/>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 w:hRule="atLeast"/>
        </w:trPr>
        <w:tc>
          <w:tcPr>
            <w:tcW w:w="7244" w:type="dxa"/>
            <w:shd w:val="clear" w:color="auto" w:fill="auto"/>
          </w:tcPr>
          <w:p>
            <w:pPr>
              <w:pStyle w:val="42"/>
              <w:spacing w:line="360" w:lineRule="auto"/>
              <w:rPr>
                <w:sz w:val="21"/>
                <w:szCs w:val="21"/>
              </w:rPr>
            </w:pPr>
            <w:r>
              <w:rPr>
                <w:rFonts w:hint="eastAsia"/>
                <w:sz w:val="21"/>
                <w:szCs w:val="21"/>
              </w:rPr>
              <w:t>双侧上颌骨完全缺失</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双侧下颌骨完全缺失</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shd w:val="clear" w:color="auto" w:fill="auto"/>
          </w:tcPr>
          <w:p>
            <w:pPr>
              <w:pStyle w:val="42"/>
              <w:spacing w:line="360" w:lineRule="auto"/>
              <w:rPr>
                <w:sz w:val="21"/>
                <w:szCs w:val="21"/>
              </w:rPr>
            </w:pPr>
            <w:r>
              <w:rPr>
                <w:rFonts w:hint="eastAsia"/>
                <w:sz w:val="21"/>
                <w:szCs w:val="21"/>
              </w:rPr>
              <w:t>一侧上颌骨及对侧下颌骨完全缺失</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shd w:val="clear" w:color="auto" w:fill="auto"/>
          </w:tcPr>
          <w:p>
            <w:pPr>
              <w:pStyle w:val="42"/>
              <w:spacing w:line="360" w:lineRule="auto"/>
              <w:rPr>
                <w:sz w:val="21"/>
                <w:szCs w:val="21"/>
              </w:rPr>
            </w:pPr>
            <w:r>
              <w:rPr>
                <w:rFonts w:hint="eastAsia"/>
                <w:sz w:val="21"/>
                <w:szCs w:val="21"/>
              </w:rPr>
              <w:t>同侧上、下颌骨完全缺失</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244" w:type="dxa"/>
            <w:shd w:val="clear" w:color="auto" w:fill="auto"/>
          </w:tcPr>
          <w:p>
            <w:pPr>
              <w:pStyle w:val="42"/>
              <w:spacing w:line="360" w:lineRule="auto"/>
              <w:rPr>
                <w:sz w:val="21"/>
                <w:szCs w:val="21"/>
              </w:rPr>
            </w:pPr>
            <w:r>
              <w:rPr>
                <w:rFonts w:hint="eastAsia"/>
                <w:sz w:val="21"/>
                <w:szCs w:val="21"/>
              </w:rPr>
              <w:t>上颌骨、下颌骨缺损，且牙齿脱落大于等于</w:t>
            </w:r>
            <w:r>
              <w:rPr>
                <w:sz w:val="21"/>
                <w:szCs w:val="21"/>
              </w:rPr>
              <w:t>24枚</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 w:hRule="atLeast"/>
        </w:trPr>
        <w:tc>
          <w:tcPr>
            <w:tcW w:w="7244" w:type="dxa"/>
            <w:shd w:val="clear" w:color="auto" w:fill="auto"/>
          </w:tcPr>
          <w:p>
            <w:pPr>
              <w:pStyle w:val="42"/>
              <w:spacing w:line="360" w:lineRule="auto"/>
              <w:rPr>
                <w:sz w:val="21"/>
                <w:szCs w:val="21"/>
              </w:rPr>
            </w:pPr>
            <w:r>
              <w:rPr>
                <w:rFonts w:hint="eastAsia"/>
                <w:sz w:val="21"/>
                <w:szCs w:val="21"/>
              </w:rPr>
              <w:t>一侧上颌骨完全缺失</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7244" w:type="dxa"/>
            <w:shd w:val="clear" w:color="auto" w:fill="auto"/>
          </w:tcPr>
          <w:p>
            <w:pPr>
              <w:pStyle w:val="42"/>
              <w:spacing w:line="360" w:lineRule="auto"/>
              <w:rPr>
                <w:sz w:val="21"/>
                <w:szCs w:val="21"/>
              </w:rPr>
            </w:pPr>
            <w:r>
              <w:rPr>
                <w:rFonts w:hint="eastAsia"/>
                <w:sz w:val="21"/>
                <w:szCs w:val="21"/>
              </w:rPr>
              <w:t>一侧下颌骨完全缺失</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42"/>
              <w:spacing w:line="360" w:lineRule="auto"/>
              <w:rPr>
                <w:sz w:val="21"/>
                <w:szCs w:val="21"/>
              </w:rPr>
            </w:pPr>
            <w:r>
              <w:rPr>
                <w:rFonts w:hint="eastAsia"/>
                <w:sz w:val="21"/>
                <w:szCs w:val="21"/>
              </w:rPr>
              <w:t>一侧上颌骨缺损大于等于</w:t>
            </w:r>
            <w:r>
              <w:rPr>
                <w:sz w:val="21"/>
                <w:szCs w:val="21"/>
              </w:rPr>
              <w:t>50%，且口腔、颜面部软组织缺损大于20cm</w:t>
            </w:r>
            <w:r>
              <w:rPr>
                <w:sz w:val="21"/>
                <w:szCs w:val="21"/>
                <w:vertAlign w:val="superscript"/>
              </w:rPr>
              <w:t>2</w:t>
            </w:r>
          </w:p>
        </w:tc>
        <w:tc>
          <w:tcPr>
            <w:tcW w:w="1071"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一侧下颌骨缺损大于等于</w:t>
            </w:r>
            <w:r>
              <w:rPr>
                <w:sz w:val="21"/>
                <w:szCs w:val="21"/>
              </w:rPr>
              <w:t>6cm，且口腔、颜面部软组织缺损大于20cm</w:t>
            </w:r>
            <w:r>
              <w:rPr>
                <w:sz w:val="21"/>
                <w:szCs w:val="21"/>
                <w:vertAlign w:val="superscript"/>
              </w:rPr>
              <w:t>2</w:t>
            </w:r>
          </w:p>
        </w:tc>
        <w:tc>
          <w:tcPr>
            <w:tcW w:w="1071"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42"/>
              <w:spacing w:line="360" w:lineRule="auto"/>
              <w:rPr>
                <w:sz w:val="21"/>
                <w:szCs w:val="21"/>
              </w:rPr>
            </w:pPr>
            <w:r>
              <w:rPr>
                <w:rFonts w:hint="eastAsia"/>
                <w:sz w:val="21"/>
                <w:szCs w:val="21"/>
              </w:rPr>
              <w:t>面颊部洞穿性缺损大于</w:t>
            </w:r>
            <w:r>
              <w:rPr>
                <w:sz w:val="21"/>
                <w:szCs w:val="21"/>
              </w:rPr>
              <w:t>20cm</w:t>
            </w:r>
            <w:r>
              <w:rPr>
                <w:sz w:val="21"/>
                <w:szCs w:val="21"/>
                <w:vertAlign w:val="superscript"/>
              </w:rPr>
              <w:t>2</w:t>
            </w:r>
          </w:p>
        </w:tc>
        <w:tc>
          <w:tcPr>
            <w:tcW w:w="1071"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7244" w:type="dxa"/>
            <w:shd w:val="clear" w:color="auto" w:fill="auto"/>
          </w:tcPr>
          <w:p>
            <w:pPr>
              <w:pStyle w:val="42"/>
              <w:spacing w:line="360" w:lineRule="auto"/>
              <w:rPr>
                <w:sz w:val="21"/>
                <w:szCs w:val="21"/>
              </w:rPr>
            </w:pPr>
            <w:r>
              <w:rPr>
                <w:rFonts w:hint="eastAsia"/>
                <w:sz w:val="21"/>
                <w:szCs w:val="21"/>
              </w:rPr>
              <w:t>上颌骨、下颌骨缺损，且牙齿脱落大于等于</w:t>
            </w:r>
            <w:r>
              <w:rPr>
                <w:sz w:val="21"/>
                <w:szCs w:val="21"/>
              </w:rPr>
              <w:t>20枚</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244" w:type="dxa"/>
            <w:shd w:val="clear" w:color="auto" w:fill="auto"/>
          </w:tcPr>
          <w:p>
            <w:pPr>
              <w:pStyle w:val="42"/>
              <w:spacing w:line="360" w:lineRule="auto"/>
              <w:rPr>
                <w:sz w:val="21"/>
                <w:szCs w:val="21"/>
              </w:rPr>
            </w:pPr>
            <w:r>
              <w:rPr>
                <w:rFonts w:hint="eastAsia"/>
                <w:sz w:val="21"/>
                <w:szCs w:val="21"/>
              </w:rPr>
              <w:t>一侧上颌骨缺损大于</w:t>
            </w:r>
            <w:r>
              <w:rPr>
                <w:sz w:val="21"/>
                <w:szCs w:val="21"/>
              </w:rPr>
              <w:t>25%，小于50%，且口腔、颜面部软组织缺损大于10cm</w:t>
            </w:r>
            <w:r>
              <w:rPr>
                <w:sz w:val="21"/>
                <w:szCs w:val="21"/>
                <w:vertAlign w:val="superscript"/>
              </w:rPr>
              <w:t>2</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7244" w:type="dxa"/>
            <w:shd w:val="clear" w:color="auto" w:fill="auto"/>
          </w:tcPr>
          <w:p>
            <w:pPr>
              <w:pStyle w:val="42"/>
              <w:spacing w:line="360" w:lineRule="auto"/>
              <w:rPr>
                <w:sz w:val="21"/>
                <w:szCs w:val="21"/>
              </w:rPr>
            </w:pPr>
            <w:r>
              <w:rPr>
                <w:rFonts w:hint="eastAsia"/>
                <w:sz w:val="21"/>
                <w:szCs w:val="21"/>
              </w:rPr>
              <w:t>一侧下颌骨缺损大于等于</w:t>
            </w:r>
            <w:r>
              <w:rPr>
                <w:sz w:val="21"/>
                <w:szCs w:val="21"/>
              </w:rPr>
              <w:t>4cm，且口腔、颜面部软组织缺损大于10cm</w:t>
            </w:r>
            <w:r>
              <w:rPr>
                <w:sz w:val="21"/>
                <w:szCs w:val="21"/>
                <w:vertAlign w:val="superscript"/>
              </w:rPr>
              <w:t>2</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42"/>
              <w:spacing w:line="360" w:lineRule="auto"/>
              <w:rPr>
                <w:sz w:val="21"/>
                <w:szCs w:val="21"/>
              </w:rPr>
            </w:pPr>
            <w:r>
              <w:rPr>
                <w:rFonts w:hint="eastAsia"/>
                <w:sz w:val="21"/>
                <w:szCs w:val="21"/>
              </w:rPr>
              <w:t>一侧上颌骨缺损等于</w:t>
            </w:r>
            <w:r>
              <w:rPr>
                <w:sz w:val="21"/>
                <w:szCs w:val="21"/>
              </w:rPr>
              <w:t>25%，且口腔、颜面部软组织缺损大于10cm</w:t>
            </w:r>
            <w:r>
              <w:rPr>
                <w:sz w:val="21"/>
                <w:szCs w:val="21"/>
                <w:vertAlign w:val="superscript"/>
              </w:rPr>
              <w:t>2</w:t>
            </w:r>
          </w:p>
        </w:tc>
        <w:tc>
          <w:tcPr>
            <w:tcW w:w="107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244" w:type="dxa"/>
            <w:shd w:val="clear" w:color="auto" w:fill="auto"/>
          </w:tcPr>
          <w:p>
            <w:pPr>
              <w:pStyle w:val="42"/>
              <w:spacing w:line="360" w:lineRule="auto"/>
              <w:rPr>
                <w:sz w:val="21"/>
                <w:szCs w:val="21"/>
              </w:rPr>
            </w:pPr>
            <w:r>
              <w:rPr>
                <w:rFonts w:hint="eastAsia"/>
                <w:sz w:val="21"/>
                <w:szCs w:val="21"/>
              </w:rPr>
              <w:t>面部软组织缺损大于</w:t>
            </w:r>
            <w:r>
              <w:rPr>
                <w:sz w:val="21"/>
                <w:szCs w:val="21"/>
              </w:rPr>
              <w:t>20cm</w:t>
            </w:r>
            <w:r>
              <w:rPr>
                <w:sz w:val="21"/>
                <w:szCs w:val="21"/>
                <w:vertAlign w:val="superscript"/>
              </w:rPr>
              <w:t>2</w:t>
            </w:r>
            <w:r>
              <w:rPr>
                <w:rFonts w:hint="eastAsia"/>
                <w:sz w:val="21"/>
                <w:szCs w:val="21"/>
              </w:rPr>
              <w:t>，且伴发涎瘘</w:t>
            </w:r>
          </w:p>
        </w:tc>
        <w:tc>
          <w:tcPr>
            <w:tcW w:w="107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trPr>
        <w:tc>
          <w:tcPr>
            <w:tcW w:w="7244" w:type="dxa"/>
            <w:shd w:val="clear" w:color="auto" w:fill="auto"/>
          </w:tcPr>
          <w:p>
            <w:pPr>
              <w:pStyle w:val="42"/>
              <w:spacing w:line="360" w:lineRule="auto"/>
              <w:rPr>
                <w:sz w:val="21"/>
                <w:szCs w:val="21"/>
              </w:rPr>
            </w:pPr>
            <w:r>
              <w:rPr>
                <w:rFonts w:hint="eastAsia"/>
                <w:sz w:val="21"/>
                <w:szCs w:val="21"/>
              </w:rPr>
              <w:t>上颌骨、下颌骨缺损，且牙齿脱落大于等于</w:t>
            </w:r>
            <w:r>
              <w:rPr>
                <w:sz w:val="21"/>
                <w:szCs w:val="21"/>
              </w:rPr>
              <w:t>16枚</w:t>
            </w:r>
          </w:p>
        </w:tc>
        <w:tc>
          <w:tcPr>
            <w:tcW w:w="107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 w:hRule="atLeast"/>
        </w:trPr>
        <w:tc>
          <w:tcPr>
            <w:tcW w:w="7244" w:type="dxa"/>
            <w:shd w:val="clear" w:color="auto" w:fill="auto"/>
          </w:tcPr>
          <w:p>
            <w:pPr>
              <w:pStyle w:val="42"/>
              <w:spacing w:line="360" w:lineRule="auto"/>
              <w:rPr>
                <w:sz w:val="21"/>
                <w:szCs w:val="21"/>
              </w:rPr>
            </w:pPr>
            <w:r>
              <w:rPr>
                <w:rFonts w:hint="eastAsia"/>
                <w:sz w:val="21"/>
                <w:szCs w:val="21"/>
              </w:rPr>
              <w:t>上颌骨、下颌骨缺损，且牙齿脱落大于等于</w:t>
            </w:r>
            <w:r>
              <w:rPr>
                <w:sz w:val="21"/>
                <w:szCs w:val="21"/>
              </w:rPr>
              <w:t>12枚</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7244" w:type="dxa"/>
            <w:shd w:val="clear" w:color="auto" w:fill="auto"/>
          </w:tcPr>
          <w:p>
            <w:pPr>
              <w:pStyle w:val="42"/>
              <w:spacing w:line="360" w:lineRule="auto"/>
              <w:rPr>
                <w:sz w:val="21"/>
                <w:szCs w:val="21"/>
              </w:rPr>
            </w:pPr>
            <w:r>
              <w:rPr>
                <w:rFonts w:hint="eastAsia"/>
                <w:sz w:val="21"/>
                <w:szCs w:val="21"/>
              </w:rPr>
              <w:t>上颌骨、下颌骨缺损，且牙齿脱落大于等于</w:t>
            </w:r>
            <w:r>
              <w:rPr>
                <w:sz w:val="21"/>
                <w:szCs w:val="21"/>
              </w:rPr>
              <w:t>8枚</w:t>
            </w:r>
          </w:p>
        </w:tc>
        <w:tc>
          <w:tcPr>
            <w:tcW w:w="107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42"/>
              <w:spacing w:line="360" w:lineRule="auto"/>
              <w:rPr>
                <w:sz w:val="21"/>
                <w:szCs w:val="21"/>
              </w:rPr>
            </w:pPr>
            <w:r>
              <w:rPr>
                <w:rFonts w:hint="eastAsia"/>
                <w:sz w:val="21"/>
                <w:szCs w:val="21"/>
              </w:rPr>
              <w:t>上颌骨、下颌骨缺损，且牙齿脱落大于等于</w:t>
            </w:r>
            <w:r>
              <w:rPr>
                <w:sz w:val="21"/>
                <w:szCs w:val="21"/>
              </w:rPr>
              <w:t>4枚</w:t>
            </w:r>
          </w:p>
        </w:tc>
        <w:tc>
          <w:tcPr>
            <w:tcW w:w="1071"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颅骨缺损大于等于</w:t>
            </w:r>
            <w:r>
              <w:rPr>
                <w:sz w:val="21"/>
                <w:szCs w:val="21"/>
              </w:rPr>
              <w:t>6cm</w:t>
            </w:r>
            <w:r>
              <w:rPr>
                <w:sz w:val="21"/>
                <w:szCs w:val="21"/>
                <w:vertAlign w:val="superscript"/>
              </w:rPr>
              <w:t>2</w:t>
            </w:r>
          </w:p>
        </w:tc>
        <w:tc>
          <w:tcPr>
            <w:tcW w:w="1071" w:type="dxa"/>
            <w:shd w:val="clear" w:color="auto" w:fill="auto"/>
          </w:tcPr>
          <w:p>
            <w:pPr>
              <w:pStyle w:val="42"/>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0" w:name="_Toc356463494"/>
      <w:r>
        <w:rPr>
          <w:rFonts w:hint="eastAsia" w:ascii="宋体" w:hAnsi="宋体"/>
          <w:sz w:val="21"/>
          <w:szCs w:val="21"/>
        </w:rPr>
        <w:t>头颈部关节功能障碍</w:t>
      </w:r>
      <w:bookmarkEnd w:id="50"/>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 w:hRule="atLeast"/>
        </w:trPr>
        <w:tc>
          <w:tcPr>
            <w:tcW w:w="7088" w:type="dxa"/>
            <w:shd w:val="clear" w:color="auto" w:fill="auto"/>
            <w:vAlign w:val="center"/>
          </w:tcPr>
          <w:p>
            <w:pPr>
              <w:pStyle w:val="42"/>
              <w:spacing w:line="360" w:lineRule="auto"/>
              <w:rPr>
                <w:sz w:val="21"/>
                <w:szCs w:val="21"/>
              </w:rPr>
            </w:pPr>
            <w:r>
              <w:rPr>
                <w:rFonts w:hint="eastAsia"/>
                <w:sz w:val="21"/>
                <w:szCs w:val="21"/>
              </w:rPr>
              <w:t>单侧颞下颌关节强直，张口困难Ⅲ度</w:t>
            </w:r>
          </w:p>
        </w:tc>
        <w:tc>
          <w:tcPr>
            <w:tcW w:w="1213"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7088" w:type="dxa"/>
            <w:shd w:val="clear" w:color="auto" w:fill="auto"/>
            <w:vAlign w:val="center"/>
          </w:tcPr>
          <w:p>
            <w:pPr>
              <w:pStyle w:val="42"/>
              <w:spacing w:line="360" w:lineRule="auto"/>
              <w:rPr>
                <w:sz w:val="21"/>
                <w:szCs w:val="21"/>
              </w:rPr>
            </w:pPr>
            <w:r>
              <w:rPr>
                <w:rFonts w:hint="eastAsia"/>
                <w:sz w:val="21"/>
                <w:szCs w:val="21"/>
              </w:rPr>
              <w:t>双侧颞下颌关节强直，张口困难Ⅲ度</w:t>
            </w:r>
          </w:p>
        </w:tc>
        <w:tc>
          <w:tcPr>
            <w:tcW w:w="1213"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42"/>
              <w:spacing w:line="360" w:lineRule="auto"/>
              <w:rPr>
                <w:sz w:val="21"/>
                <w:szCs w:val="21"/>
              </w:rPr>
            </w:pPr>
            <w:r>
              <w:rPr>
                <w:rFonts w:hint="eastAsia"/>
                <w:sz w:val="21"/>
                <w:szCs w:val="21"/>
              </w:rPr>
              <w:t>双侧颞下颌关节强直，张口困难Ⅱ度</w:t>
            </w:r>
            <w:r>
              <w:rPr>
                <w:sz w:val="21"/>
                <w:szCs w:val="21"/>
              </w:rPr>
              <w:t xml:space="preserve"> </w:t>
            </w:r>
          </w:p>
        </w:tc>
        <w:tc>
          <w:tcPr>
            <w:tcW w:w="1213"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7088" w:type="dxa"/>
            <w:shd w:val="clear" w:color="auto" w:fill="auto"/>
            <w:vAlign w:val="center"/>
          </w:tcPr>
          <w:p>
            <w:pPr>
              <w:pStyle w:val="42"/>
              <w:spacing w:line="360" w:lineRule="auto"/>
              <w:rPr>
                <w:sz w:val="21"/>
                <w:szCs w:val="21"/>
              </w:rPr>
            </w:pPr>
            <w:r>
              <w:rPr>
                <w:rFonts w:hint="eastAsia"/>
                <w:sz w:val="21"/>
                <w:szCs w:val="21"/>
              </w:rPr>
              <w:t>一侧颞下颌关节强直，张口困难</w:t>
            </w:r>
            <w:r>
              <w:rPr>
                <w:sz w:val="21"/>
                <w:szCs w:val="21"/>
              </w:rPr>
              <w:t>I度</w:t>
            </w:r>
          </w:p>
        </w:tc>
        <w:tc>
          <w:tcPr>
            <w:tcW w:w="1213" w:type="dxa"/>
            <w:shd w:val="clear" w:color="auto" w:fill="auto"/>
            <w:vAlign w:val="center"/>
          </w:tcPr>
          <w:p>
            <w:pPr>
              <w:pStyle w:val="42"/>
              <w:spacing w:line="360" w:lineRule="auto"/>
              <w:jc w:val="center"/>
              <w:rPr>
                <w:sz w:val="21"/>
                <w:szCs w:val="21"/>
              </w:rPr>
            </w:pPr>
            <w:r>
              <w:rPr>
                <w:sz w:val="21"/>
                <w:szCs w:val="21"/>
              </w:rPr>
              <w:t>10级</w:t>
            </w:r>
          </w:p>
        </w:tc>
      </w:tr>
    </w:tbl>
    <w:p>
      <w:pPr>
        <w:pStyle w:val="40"/>
        <w:spacing w:line="360" w:lineRule="auto"/>
        <w:rPr>
          <w:rFonts w:ascii="宋体" w:hAnsi="宋体" w:eastAsia="宋体"/>
          <w:sz w:val="21"/>
          <w:szCs w:val="21"/>
        </w:rPr>
      </w:pPr>
      <w:r>
        <w:rPr>
          <w:rFonts w:hint="eastAsia" w:ascii="宋体" w:hAnsi="宋体" w:eastAsia="宋体"/>
          <w:sz w:val="21"/>
          <w:szCs w:val="21"/>
        </w:rPr>
        <w:t>注：张口困难判定及测量方法是以患者自身的食指、中指、无名指并列垂直置入上、下中切牙切缘间测量。正常张口度指张口时上述三指可垂直置入上、下切牙切缘间（相当于</w:t>
      </w:r>
      <w:r>
        <w:rPr>
          <w:rFonts w:ascii="宋体" w:hAnsi="宋体" w:eastAsia="宋体"/>
          <w:sz w:val="21"/>
          <w:szCs w:val="21"/>
        </w:rPr>
        <w:t>4.5cm左右）；张口困难I度指大张口时，只能垂直置</w:t>
      </w:r>
      <w:r>
        <w:rPr>
          <w:rFonts w:hint="eastAsia" w:ascii="宋体" w:hAnsi="宋体" w:eastAsia="宋体"/>
          <w:sz w:val="21"/>
          <w:szCs w:val="21"/>
        </w:rPr>
        <w:t>入</w:t>
      </w:r>
      <w:r>
        <w:rPr>
          <w:rFonts w:ascii="宋体" w:hAnsi="宋体" w:eastAsia="宋体"/>
          <w:sz w:val="21"/>
          <w:szCs w:val="21"/>
        </w:rPr>
        <w:t>食指和中指（相当于3cm左右）；张口困难II度指大张口时，只能垂直置</w:t>
      </w:r>
      <w:r>
        <w:rPr>
          <w:rFonts w:hint="eastAsia" w:ascii="宋体" w:hAnsi="宋体" w:eastAsia="宋体"/>
          <w:sz w:val="21"/>
          <w:szCs w:val="21"/>
        </w:rPr>
        <w:t>入</w:t>
      </w:r>
      <w:r>
        <w:rPr>
          <w:rFonts w:ascii="宋体" w:hAnsi="宋体" w:eastAsia="宋体"/>
          <w:sz w:val="21"/>
          <w:szCs w:val="21"/>
        </w:rPr>
        <w:t>食指（相当于1.7cm左右</w:t>
      </w:r>
      <w:r>
        <w:rPr>
          <w:rFonts w:hint="eastAsia" w:ascii="宋体" w:hAnsi="宋体" w:eastAsia="宋体"/>
          <w:sz w:val="21"/>
          <w:szCs w:val="21"/>
        </w:rPr>
        <w:t>）；张口困难</w:t>
      </w:r>
      <w:r>
        <w:rPr>
          <w:rFonts w:ascii="宋体" w:hAnsi="宋体" w:eastAsia="宋体"/>
          <w:sz w:val="21"/>
          <w:szCs w:val="21"/>
        </w:rPr>
        <w:t>III度指大张口时，上、下切牙间距小于食指之横径。</w:t>
      </w: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1" w:name="_Toc356463495"/>
      <w:r>
        <w:rPr>
          <w:rFonts w:hint="eastAsia" w:ascii="宋体" w:hAnsi="宋体"/>
          <w:sz w:val="21"/>
          <w:szCs w:val="21"/>
        </w:rPr>
        <w:t>上肢的结构损伤，手功能或关节功能障碍</w:t>
      </w:r>
      <w:bookmarkEnd w:id="51"/>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8"/>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7088" w:type="dxa"/>
            <w:shd w:val="clear" w:color="auto" w:fill="auto"/>
            <w:vAlign w:val="center"/>
          </w:tcPr>
          <w:p>
            <w:pPr>
              <w:pStyle w:val="42"/>
              <w:spacing w:line="360" w:lineRule="auto"/>
              <w:rPr>
                <w:sz w:val="21"/>
                <w:szCs w:val="21"/>
              </w:rPr>
            </w:pPr>
            <w:r>
              <w:rPr>
                <w:rFonts w:hint="eastAsia"/>
                <w:sz w:val="21"/>
                <w:szCs w:val="21"/>
              </w:rPr>
              <w:t>双手完全缺失</w:t>
            </w:r>
          </w:p>
        </w:tc>
        <w:tc>
          <w:tcPr>
            <w:tcW w:w="1213"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88" w:type="dxa"/>
            <w:shd w:val="clear" w:color="auto" w:fill="auto"/>
            <w:vAlign w:val="center"/>
          </w:tcPr>
          <w:p>
            <w:pPr>
              <w:pStyle w:val="42"/>
              <w:spacing w:line="360" w:lineRule="auto"/>
              <w:rPr>
                <w:sz w:val="21"/>
                <w:szCs w:val="21"/>
              </w:rPr>
            </w:pPr>
            <w:r>
              <w:rPr>
                <w:rFonts w:hint="eastAsia"/>
                <w:sz w:val="21"/>
                <w:szCs w:val="21"/>
              </w:rPr>
              <w:t>双手完全丧失功能</w:t>
            </w:r>
          </w:p>
        </w:tc>
        <w:tc>
          <w:tcPr>
            <w:tcW w:w="1213" w:type="dxa"/>
            <w:shd w:val="clear" w:color="auto" w:fill="auto"/>
            <w:vAlign w:val="center"/>
          </w:tcPr>
          <w:p>
            <w:pPr>
              <w:pStyle w:val="42"/>
              <w:spacing w:line="360" w:lineRule="auto"/>
              <w:jc w:val="center"/>
              <w:rPr>
                <w:sz w:val="21"/>
                <w:szCs w:val="21"/>
              </w:rPr>
            </w:pPr>
            <w:r>
              <w:rPr>
                <w:sz w:val="21"/>
                <w:szCs w:val="21"/>
              </w:rPr>
              <w:t>4</w:t>
            </w:r>
            <w:r>
              <w:rPr>
                <w:rFonts w:hint="eastAsia"/>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7088" w:type="dxa"/>
            <w:shd w:val="clear" w:color="auto" w:fill="auto"/>
            <w:vAlign w:val="center"/>
          </w:tcPr>
          <w:p>
            <w:pPr>
              <w:pStyle w:val="42"/>
              <w:spacing w:line="360" w:lineRule="auto"/>
              <w:rPr>
                <w:sz w:val="21"/>
                <w:szCs w:val="21"/>
              </w:rPr>
            </w:pPr>
            <w:r>
              <w:rPr>
                <w:rFonts w:hint="eastAsia"/>
                <w:sz w:val="21"/>
                <w:szCs w:val="21"/>
              </w:rPr>
              <w:t>一手完全缺失，另一手完全丧失功能</w:t>
            </w:r>
          </w:p>
        </w:tc>
        <w:tc>
          <w:tcPr>
            <w:tcW w:w="1213" w:type="dxa"/>
            <w:shd w:val="clear" w:color="auto" w:fill="auto"/>
            <w:vAlign w:val="center"/>
          </w:tcPr>
          <w:p>
            <w:pPr>
              <w:pStyle w:val="42"/>
              <w:spacing w:line="360" w:lineRule="auto"/>
              <w:jc w:val="center"/>
              <w:rPr>
                <w:sz w:val="21"/>
                <w:szCs w:val="21"/>
              </w:rPr>
            </w:pPr>
            <w:r>
              <w:rPr>
                <w:sz w:val="21"/>
                <w:szCs w:val="21"/>
              </w:rPr>
              <w:t>4</w:t>
            </w:r>
            <w:r>
              <w:rPr>
                <w:rFonts w:hint="eastAsia"/>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42"/>
              <w:spacing w:line="360" w:lineRule="auto"/>
              <w:rPr>
                <w:sz w:val="21"/>
                <w:szCs w:val="21"/>
              </w:rPr>
            </w:pPr>
            <w:r>
              <w:rPr>
                <w:rFonts w:hint="eastAsia"/>
                <w:sz w:val="21"/>
                <w:szCs w:val="21"/>
              </w:rPr>
              <w:t>双手缺失（或丧失功能）大于等于</w:t>
            </w:r>
            <w:r>
              <w:rPr>
                <w:sz w:val="21"/>
                <w:szCs w:val="21"/>
              </w:rPr>
              <w:t>90%</w:t>
            </w:r>
          </w:p>
        </w:tc>
        <w:tc>
          <w:tcPr>
            <w:tcW w:w="1213"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42"/>
              <w:spacing w:line="360" w:lineRule="auto"/>
              <w:rPr>
                <w:sz w:val="21"/>
                <w:szCs w:val="21"/>
              </w:rPr>
            </w:pPr>
            <w:r>
              <w:rPr>
                <w:rFonts w:hint="eastAsia"/>
                <w:sz w:val="21"/>
                <w:szCs w:val="21"/>
              </w:rPr>
              <w:t>双手缺失（或丧失功能）大于等于</w:t>
            </w:r>
            <w:r>
              <w:rPr>
                <w:sz w:val="21"/>
                <w:szCs w:val="21"/>
              </w:rPr>
              <w:t>70%</w:t>
            </w:r>
          </w:p>
        </w:tc>
        <w:tc>
          <w:tcPr>
            <w:tcW w:w="1213"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42"/>
              <w:spacing w:line="360" w:lineRule="auto"/>
              <w:rPr>
                <w:sz w:val="21"/>
                <w:szCs w:val="21"/>
              </w:rPr>
            </w:pPr>
            <w:r>
              <w:rPr>
                <w:rFonts w:hint="eastAsia"/>
                <w:sz w:val="21"/>
                <w:szCs w:val="21"/>
              </w:rPr>
              <w:t>双手缺失（或丧失功能）大于等于5</w:t>
            </w:r>
            <w:r>
              <w:rPr>
                <w:sz w:val="21"/>
                <w:szCs w:val="21"/>
              </w:rPr>
              <w:t>0%</w:t>
            </w:r>
          </w:p>
        </w:tc>
        <w:tc>
          <w:tcPr>
            <w:tcW w:w="1213" w:type="dxa"/>
            <w:shd w:val="clear" w:color="auto" w:fill="auto"/>
            <w:vAlign w:val="center"/>
          </w:tcPr>
          <w:p>
            <w:pPr>
              <w:pStyle w:val="42"/>
              <w:spacing w:line="360" w:lineRule="auto"/>
              <w:jc w:val="center"/>
              <w:rPr>
                <w:sz w:val="21"/>
                <w:szCs w:val="21"/>
              </w:rPr>
            </w:pPr>
            <w:r>
              <w:rPr>
                <w:rFonts w:hint="eastAsia"/>
                <w:sz w:val="21"/>
                <w:szCs w:val="21"/>
              </w:rPr>
              <w:t>7</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tcPr>
          <w:p>
            <w:pPr>
              <w:pStyle w:val="42"/>
              <w:spacing w:line="360" w:lineRule="auto"/>
              <w:rPr>
                <w:sz w:val="21"/>
                <w:szCs w:val="21"/>
              </w:rPr>
            </w:pPr>
            <w:r>
              <w:rPr>
                <w:rFonts w:hint="eastAsia"/>
                <w:sz w:val="21"/>
                <w:szCs w:val="21"/>
              </w:rPr>
              <w:t>一上肢三大关节中，有两个关节完全丧失功能</w:t>
            </w:r>
          </w:p>
        </w:tc>
        <w:tc>
          <w:tcPr>
            <w:tcW w:w="1213"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088" w:type="dxa"/>
            <w:shd w:val="clear" w:color="auto" w:fill="auto"/>
          </w:tcPr>
          <w:p>
            <w:pPr>
              <w:pStyle w:val="42"/>
              <w:spacing w:line="360" w:lineRule="auto"/>
              <w:rPr>
                <w:sz w:val="21"/>
                <w:szCs w:val="21"/>
              </w:rPr>
            </w:pPr>
            <w:r>
              <w:rPr>
                <w:rFonts w:hint="eastAsia"/>
                <w:sz w:val="21"/>
                <w:szCs w:val="21"/>
              </w:rPr>
              <w:t>一上肢三大关节中，有一个关节完全丧失功能</w:t>
            </w:r>
          </w:p>
        </w:tc>
        <w:tc>
          <w:tcPr>
            <w:tcW w:w="1213"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 w:hRule="atLeast"/>
        </w:trPr>
        <w:tc>
          <w:tcPr>
            <w:tcW w:w="7088" w:type="dxa"/>
            <w:shd w:val="clear" w:color="auto" w:fill="auto"/>
            <w:vAlign w:val="center"/>
          </w:tcPr>
          <w:p>
            <w:pPr>
              <w:pStyle w:val="42"/>
              <w:spacing w:line="360" w:lineRule="auto"/>
              <w:rPr>
                <w:sz w:val="21"/>
                <w:szCs w:val="21"/>
              </w:rPr>
            </w:pPr>
            <w:r>
              <w:rPr>
                <w:rFonts w:hint="eastAsia"/>
                <w:sz w:val="21"/>
                <w:szCs w:val="21"/>
              </w:rPr>
              <w:t>双手缺失（或丧失功能）大于等于</w:t>
            </w:r>
            <w:r>
              <w:rPr>
                <w:sz w:val="21"/>
                <w:szCs w:val="21"/>
              </w:rPr>
              <w:t>30%</w:t>
            </w:r>
          </w:p>
        </w:tc>
        <w:tc>
          <w:tcPr>
            <w:tcW w:w="1213"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088" w:type="dxa"/>
            <w:shd w:val="clear" w:color="auto" w:fill="auto"/>
            <w:vAlign w:val="center"/>
          </w:tcPr>
          <w:p>
            <w:pPr>
              <w:pStyle w:val="42"/>
              <w:spacing w:line="360" w:lineRule="auto"/>
              <w:rPr>
                <w:sz w:val="21"/>
                <w:szCs w:val="21"/>
              </w:rPr>
            </w:pPr>
            <w:r>
              <w:rPr>
                <w:rFonts w:hint="eastAsia"/>
                <w:sz w:val="21"/>
                <w:szCs w:val="21"/>
              </w:rPr>
              <w:t>双手缺失（或丧失功能）大于等于</w:t>
            </w:r>
            <w:r>
              <w:rPr>
                <w:sz w:val="21"/>
                <w:szCs w:val="21"/>
              </w:rPr>
              <w:t>10%</w:t>
            </w:r>
          </w:p>
        </w:tc>
        <w:tc>
          <w:tcPr>
            <w:tcW w:w="1213"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7088" w:type="dxa"/>
            <w:shd w:val="clear" w:color="auto" w:fill="auto"/>
            <w:vAlign w:val="center"/>
          </w:tcPr>
          <w:p>
            <w:pPr>
              <w:pStyle w:val="42"/>
              <w:spacing w:line="360" w:lineRule="auto"/>
              <w:rPr>
                <w:sz w:val="21"/>
                <w:szCs w:val="21"/>
              </w:rPr>
            </w:pPr>
            <w:r>
              <w:rPr>
                <w:rFonts w:hint="eastAsia"/>
                <w:sz w:val="21"/>
                <w:szCs w:val="21"/>
              </w:rPr>
              <w:t>双上肢长度相差大于等于</w:t>
            </w:r>
            <w:r>
              <w:rPr>
                <w:sz w:val="21"/>
                <w:szCs w:val="21"/>
              </w:rPr>
              <w:t>10cm</w:t>
            </w:r>
          </w:p>
        </w:tc>
        <w:tc>
          <w:tcPr>
            <w:tcW w:w="1213" w:type="dxa"/>
            <w:shd w:val="clear" w:color="auto" w:fill="auto"/>
            <w:vAlign w:val="center"/>
          </w:tcPr>
          <w:p>
            <w:pPr>
              <w:pStyle w:val="42"/>
              <w:spacing w:line="360" w:lineRule="auto"/>
              <w:jc w:val="center"/>
              <w:rPr>
                <w:sz w:val="21"/>
                <w:szCs w:val="21"/>
              </w:rPr>
            </w:pPr>
            <w:r>
              <w:rPr>
                <w:sz w:val="21"/>
                <w:szCs w:val="21"/>
              </w:rPr>
              <w:t>9</w:t>
            </w:r>
            <w:r>
              <w:rPr>
                <w:rFonts w:hint="eastAsia"/>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7088" w:type="dxa"/>
            <w:shd w:val="clear" w:color="auto" w:fill="auto"/>
            <w:vAlign w:val="center"/>
          </w:tcPr>
          <w:p>
            <w:pPr>
              <w:pStyle w:val="42"/>
              <w:spacing w:line="360" w:lineRule="auto"/>
              <w:rPr>
                <w:sz w:val="21"/>
                <w:szCs w:val="21"/>
              </w:rPr>
            </w:pPr>
            <w:r>
              <w:rPr>
                <w:rFonts w:hint="eastAsia"/>
                <w:sz w:val="21"/>
                <w:szCs w:val="21"/>
              </w:rPr>
              <w:t>双上肢长度相差大于等于</w:t>
            </w:r>
            <w:r>
              <w:rPr>
                <w:sz w:val="21"/>
                <w:szCs w:val="21"/>
              </w:rPr>
              <w:t>4cm</w:t>
            </w:r>
          </w:p>
        </w:tc>
        <w:tc>
          <w:tcPr>
            <w:tcW w:w="1213"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trPr>
        <w:tc>
          <w:tcPr>
            <w:tcW w:w="7088" w:type="dxa"/>
            <w:shd w:val="clear" w:color="auto" w:fill="auto"/>
          </w:tcPr>
          <w:p>
            <w:pPr>
              <w:pStyle w:val="42"/>
              <w:spacing w:line="360" w:lineRule="auto"/>
              <w:rPr>
                <w:sz w:val="21"/>
                <w:szCs w:val="21"/>
              </w:rPr>
            </w:pPr>
            <w:r>
              <w:rPr>
                <w:rFonts w:hint="eastAsia"/>
                <w:sz w:val="21"/>
                <w:szCs w:val="21"/>
              </w:rPr>
              <w:t>一上肢三大关节中，因骨折累及关节面导致一个关节功能部分丧失</w:t>
            </w:r>
          </w:p>
        </w:tc>
        <w:tc>
          <w:tcPr>
            <w:tcW w:w="1213" w:type="dxa"/>
            <w:shd w:val="clear" w:color="auto" w:fill="auto"/>
            <w:vAlign w:val="center"/>
          </w:tcPr>
          <w:p>
            <w:pPr>
              <w:pStyle w:val="42"/>
              <w:spacing w:line="360" w:lineRule="auto"/>
              <w:jc w:val="center"/>
              <w:rPr>
                <w:sz w:val="21"/>
                <w:szCs w:val="21"/>
              </w:rPr>
            </w:pPr>
            <w:r>
              <w:rPr>
                <w:sz w:val="21"/>
                <w:szCs w:val="21"/>
              </w:rPr>
              <w:t>10级</w:t>
            </w:r>
          </w:p>
        </w:tc>
      </w:tr>
    </w:tbl>
    <w:p>
      <w:pPr>
        <w:pStyle w:val="40"/>
        <w:spacing w:line="360" w:lineRule="auto"/>
        <w:rPr>
          <w:rFonts w:hint="eastAsia" w:ascii="宋体" w:hAnsi="宋体" w:eastAsia="宋体"/>
          <w:sz w:val="21"/>
          <w:szCs w:val="21"/>
        </w:rPr>
      </w:pPr>
      <w:r>
        <w:rPr>
          <w:rFonts w:hint="eastAsia" w:ascii="宋体" w:hAnsi="宋体" w:eastAsia="宋体"/>
          <w:sz w:val="21"/>
          <w:szCs w:val="21"/>
        </w:rPr>
        <w:t>注：手缺失和丧失功能的计算：</w:t>
      </w:r>
      <w:bookmarkStart w:id="52" w:name="OLE_LINK28"/>
      <w:bookmarkStart w:id="53" w:name="OLE_LINK29"/>
      <w:r>
        <w:rPr>
          <w:rFonts w:hint="eastAsia" w:ascii="宋体" w:hAnsi="宋体" w:eastAsia="宋体"/>
          <w:sz w:val="21"/>
          <w:szCs w:val="21"/>
        </w:rPr>
        <w:t>一手拇指占一手功能的</w:t>
      </w:r>
      <w:r>
        <w:rPr>
          <w:rFonts w:ascii="宋体" w:hAnsi="宋体" w:eastAsia="宋体"/>
          <w:sz w:val="21"/>
          <w:szCs w:val="21"/>
        </w:rPr>
        <w:t>36%，其中末节和近节指节各占18%；食指、中指各占一手功能的18%，其中末节</w:t>
      </w:r>
      <w:r>
        <w:rPr>
          <w:rFonts w:hint="eastAsia" w:ascii="宋体" w:hAnsi="宋体" w:eastAsia="宋体"/>
          <w:sz w:val="21"/>
          <w:szCs w:val="21"/>
        </w:rPr>
        <w:t>指节占</w:t>
      </w:r>
      <w:r>
        <w:rPr>
          <w:rFonts w:ascii="宋体" w:hAnsi="宋体" w:eastAsia="宋体"/>
          <w:sz w:val="21"/>
          <w:szCs w:val="21"/>
        </w:rPr>
        <w:t>8%，中节</w:t>
      </w:r>
      <w:r>
        <w:rPr>
          <w:rFonts w:hint="eastAsia" w:ascii="宋体" w:hAnsi="宋体" w:eastAsia="宋体"/>
          <w:sz w:val="21"/>
          <w:szCs w:val="21"/>
        </w:rPr>
        <w:t>指节占</w:t>
      </w:r>
      <w:r>
        <w:rPr>
          <w:rFonts w:ascii="宋体" w:hAnsi="宋体" w:eastAsia="宋体"/>
          <w:sz w:val="21"/>
          <w:szCs w:val="21"/>
        </w:rPr>
        <w:t>7%，近节</w:t>
      </w:r>
      <w:r>
        <w:rPr>
          <w:rFonts w:hint="eastAsia" w:ascii="宋体" w:hAnsi="宋体" w:eastAsia="宋体"/>
          <w:sz w:val="21"/>
          <w:szCs w:val="21"/>
        </w:rPr>
        <w:t>指节占</w:t>
      </w:r>
      <w:r>
        <w:rPr>
          <w:rFonts w:ascii="宋体" w:hAnsi="宋体" w:eastAsia="宋体"/>
          <w:sz w:val="21"/>
          <w:szCs w:val="21"/>
        </w:rPr>
        <w:t>3%；无名指和小指各占一手功能的9%，其中末节</w:t>
      </w:r>
      <w:r>
        <w:rPr>
          <w:rFonts w:hint="eastAsia" w:ascii="宋体" w:hAnsi="宋体" w:eastAsia="宋体"/>
          <w:sz w:val="21"/>
          <w:szCs w:val="21"/>
        </w:rPr>
        <w:t>指节占</w:t>
      </w:r>
      <w:r>
        <w:rPr>
          <w:rFonts w:ascii="宋体" w:hAnsi="宋体" w:eastAsia="宋体"/>
          <w:sz w:val="21"/>
          <w:szCs w:val="21"/>
        </w:rPr>
        <w:t>4%，中节</w:t>
      </w:r>
      <w:r>
        <w:rPr>
          <w:rFonts w:hint="eastAsia" w:ascii="宋体" w:hAnsi="宋体" w:eastAsia="宋体"/>
          <w:sz w:val="21"/>
          <w:szCs w:val="21"/>
        </w:rPr>
        <w:t>指节占</w:t>
      </w:r>
      <w:r>
        <w:rPr>
          <w:rFonts w:ascii="宋体" w:hAnsi="宋体" w:eastAsia="宋体"/>
          <w:sz w:val="21"/>
          <w:szCs w:val="21"/>
        </w:rPr>
        <w:t>3%，近节</w:t>
      </w:r>
      <w:r>
        <w:rPr>
          <w:rFonts w:hint="eastAsia" w:ascii="宋体" w:hAnsi="宋体" w:eastAsia="宋体"/>
          <w:sz w:val="21"/>
          <w:szCs w:val="21"/>
        </w:rPr>
        <w:t>指节占</w:t>
      </w:r>
      <w:r>
        <w:rPr>
          <w:rFonts w:ascii="宋体" w:hAnsi="宋体" w:eastAsia="宋体"/>
          <w:sz w:val="21"/>
          <w:szCs w:val="21"/>
        </w:rPr>
        <w:t>2%。</w:t>
      </w:r>
      <w:r>
        <w:rPr>
          <w:rFonts w:hint="eastAsia" w:ascii="宋体" w:hAnsi="宋体" w:eastAsia="宋体"/>
          <w:sz w:val="21"/>
          <w:szCs w:val="21"/>
        </w:rPr>
        <w:t>一手掌占一手功能的</w:t>
      </w:r>
      <w:r>
        <w:rPr>
          <w:rFonts w:ascii="宋体" w:hAnsi="宋体" w:eastAsia="宋体"/>
          <w:sz w:val="21"/>
          <w:szCs w:val="21"/>
        </w:rPr>
        <w:t>10%，其中第一掌骨占4%，第二、第三掌骨各占2%，第四、第五掌骨各占1%。本标准中，双手缺失或丧失功能的程度是按前面方</w:t>
      </w:r>
      <w:r>
        <w:rPr>
          <w:rFonts w:hint="eastAsia" w:ascii="宋体" w:hAnsi="宋体" w:eastAsia="宋体"/>
          <w:sz w:val="21"/>
          <w:szCs w:val="21"/>
        </w:rPr>
        <w:t>式</w:t>
      </w:r>
      <w:r>
        <w:rPr>
          <w:rFonts w:ascii="宋体" w:hAnsi="宋体" w:eastAsia="宋体"/>
          <w:sz w:val="21"/>
          <w:szCs w:val="21"/>
        </w:rPr>
        <w:t>累加计算的结果。</w:t>
      </w:r>
      <w:bookmarkEnd w:id="52"/>
      <w:bookmarkEnd w:id="53"/>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4" w:name="_Toc356463496"/>
      <w:r>
        <w:rPr>
          <w:rFonts w:hint="eastAsia" w:ascii="宋体" w:hAnsi="宋体"/>
          <w:sz w:val="21"/>
          <w:szCs w:val="21"/>
        </w:rPr>
        <w:t>骨盆部的结构损伤</w:t>
      </w:r>
      <w:bookmarkEnd w:id="54"/>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trPr>
        <w:tc>
          <w:tcPr>
            <w:tcW w:w="7230" w:type="dxa"/>
            <w:shd w:val="clear" w:color="auto" w:fill="auto"/>
          </w:tcPr>
          <w:p>
            <w:pPr>
              <w:pStyle w:val="42"/>
              <w:spacing w:line="360" w:lineRule="auto"/>
              <w:rPr>
                <w:sz w:val="21"/>
                <w:szCs w:val="21"/>
              </w:rPr>
            </w:pPr>
            <w:r>
              <w:rPr>
                <w:rFonts w:hint="eastAsia"/>
                <w:sz w:val="21"/>
                <w:szCs w:val="21"/>
              </w:rPr>
              <w:t>骨盆环骨折，且两下肢相对长度相差大于等于</w:t>
            </w:r>
            <w:r>
              <w:rPr>
                <w:sz w:val="21"/>
                <w:szCs w:val="21"/>
              </w:rPr>
              <w:t>8cm</w:t>
            </w:r>
          </w:p>
        </w:tc>
        <w:tc>
          <w:tcPr>
            <w:tcW w:w="107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trPr>
        <w:tc>
          <w:tcPr>
            <w:tcW w:w="7230" w:type="dxa"/>
            <w:shd w:val="clear" w:color="auto" w:fill="auto"/>
          </w:tcPr>
          <w:p>
            <w:pPr>
              <w:pStyle w:val="42"/>
              <w:spacing w:line="360" w:lineRule="auto"/>
              <w:rPr>
                <w:sz w:val="21"/>
                <w:szCs w:val="21"/>
              </w:rPr>
            </w:pPr>
            <w:r>
              <w:rPr>
                <w:rFonts w:hint="eastAsia"/>
                <w:sz w:val="21"/>
                <w:szCs w:val="21"/>
              </w:rPr>
              <w:t>髋臼骨折，且两下肢相对长度相差大于等于</w:t>
            </w:r>
            <w:r>
              <w:rPr>
                <w:sz w:val="21"/>
                <w:szCs w:val="21"/>
              </w:rPr>
              <w:t>8cm</w:t>
            </w:r>
          </w:p>
        </w:tc>
        <w:tc>
          <w:tcPr>
            <w:tcW w:w="107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7230" w:type="dxa"/>
            <w:shd w:val="clear" w:color="auto" w:fill="auto"/>
          </w:tcPr>
          <w:p>
            <w:pPr>
              <w:pStyle w:val="42"/>
              <w:spacing w:line="360" w:lineRule="auto"/>
              <w:rPr>
                <w:sz w:val="21"/>
                <w:szCs w:val="21"/>
              </w:rPr>
            </w:pPr>
            <w:r>
              <w:rPr>
                <w:rFonts w:hint="eastAsia"/>
                <w:sz w:val="21"/>
                <w:szCs w:val="21"/>
              </w:rPr>
              <w:t>骨盆环骨折，且两下肢相对长度相差大于等于</w:t>
            </w:r>
            <w:r>
              <w:rPr>
                <w:sz w:val="21"/>
                <w:szCs w:val="21"/>
              </w:rPr>
              <w:t>6cm</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7230" w:type="dxa"/>
            <w:shd w:val="clear" w:color="auto" w:fill="auto"/>
          </w:tcPr>
          <w:p>
            <w:pPr>
              <w:pStyle w:val="42"/>
              <w:spacing w:line="360" w:lineRule="auto"/>
              <w:rPr>
                <w:sz w:val="21"/>
                <w:szCs w:val="21"/>
              </w:rPr>
            </w:pPr>
            <w:r>
              <w:rPr>
                <w:rFonts w:hint="eastAsia"/>
                <w:sz w:val="21"/>
                <w:szCs w:val="21"/>
              </w:rPr>
              <w:t>髋臼骨折，且两下肢相对长度相差大于等于</w:t>
            </w:r>
            <w:r>
              <w:rPr>
                <w:sz w:val="21"/>
                <w:szCs w:val="21"/>
              </w:rPr>
              <w:t>6cm</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骨盆环骨折，且两下肢相对长度相差大于等于</w:t>
            </w:r>
            <w:r>
              <w:rPr>
                <w:sz w:val="21"/>
                <w:szCs w:val="21"/>
              </w:rPr>
              <w:t>4cm</w:t>
            </w:r>
          </w:p>
        </w:tc>
        <w:tc>
          <w:tcPr>
            <w:tcW w:w="107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shd w:val="clear" w:color="auto" w:fill="auto"/>
          </w:tcPr>
          <w:p>
            <w:pPr>
              <w:pStyle w:val="42"/>
              <w:spacing w:line="360" w:lineRule="auto"/>
              <w:rPr>
                <w:sz w:val="21"/>
                <w:szCs w:val="21"/>
              </w:rPr>
            </w:pPr>
            <w:r>
              <w:rPr>
                <w:rFonts w:hint="eastAsia"/>
                <w:sz w:val="21"/>
                <w:szCs w:val="21"/>
              </w:rPr>
              <w:t>髋臼骨折，且两下肢相对长度相差大于等于</w:t>
            </w:r>
            <w:r>
              <w:rPr>
                <w:sz w:val="21"/>
                <w:szCs w:val="21"/>
              </w:rPr>
              <w:t>4cm</w:t>
            </w:r>
          </w:p>
        </w:tc>
        <w:tc>
          <w:tcPr>
            <w:tcW w:w="1071" w:type="dxa"/>
            <w:shd w:val="clear" w:color="auto" w:fill="auto"/>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shd w:val="clear" w:color="auto" w:fill="auto"/>
          </w:tcPr>
          <w:p>
            <w:pPr>
              <w:pStyle w:val="42"/>
              <w:spacing w:line="360" w:lineRule="auto"/>
              <w:rPr>
                <w:sz w:val="21"/>
                <w:szCs w:val="21"/>
              </w:rPr>
            </w:pPr>
            <w:r>
              <w:rPr>
                <w:rFonts w:hint="eastAsia"/>
                <w:sz w:val="21"/>
                <w:szCs w:val="21"/>
              </w:rPr>
              <w:t>骨盆环骨折，且两下肢相对长度相差大于等于</w:t>
            </w:r>
            <w:r>
              <w:rPr>
                <w:sz w:val="21"/>
                <w:szCs w:val="21"/>
              </w:rPr>
              <w:t>2cm</w:t>
            </w:r>
          </w:p>
        </w:tc>
        <w:tc>
          <w:tcPr>
            <w:tcW w:w="1071" w:type="dxa"/>
            <w:shd w:val="clear" w:color="auto" w:fill="auto"/>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7230" w:type="dxa"/>
            <w:tcBorders>
              <w:bottom w:val="single" w:color="auto" w:sz="4" w:space="0"/>
            </w:tcBorders>
            <w:shd w:val="clear" w:color="auto" w:fill="auto"/>
          </w:tcPr>
          <w:p>
            <w:pPr>
              <w:pStyle w:val="42"/>
              <w:spacing w:line="360" w:lineRule="auto"/>
              <w:rPr>
                <w:sz w:val="21"/>
                <w:szCs w:val="21"/>
              </w:rPr>
            </w:pPr>
            <w:r>
              <w:rPr>
                <w:rFonts w:hint="eastAsia"/>
                <w:sz w:val="21"/>
                <w:szCs w:val="21"/>
              </w:rPr>
              <w:t>髋臼骨折，且两下肢相对长度相差大于等于</w:t>
            </w:r>
            <w:r>
              <w:rPr>
                <w:sz w:val="21"/>
                <w:szCs w:val="21"/>
              </w:rPr>
              <w:t>2cm</w:t>
            </w:r>
          </w:p>
        </w:tc>
        <w:tc>
          <w:tcPr>
            <w:tcW w:w="1071" w:type="dxa"/>
            <w:tcBorders>
              <w:bottom w:val="single" w:color="auto" w:sz="4" w:space="0"/>
            </w:tcBorders>
            <w:shd w:val="clear" w:color="auto" w:fill="auto"/>
          </w:tcPr>
          <w:p>
            <w:pPr>
              <w:pStyle w:val="42"/>
              <w:spacing w:line="360" w:lineRule="auto"/>
              <w:jc w:val="center"/>
              <w:rPr>
                <w:sz w:val="21"/>
                <w:szCs w:val="21"/>
              </w:rPr>
            </w:pPr>
            <w:r>
              <w:rPr>
                <w:sz w:val="21"/>
                <w:szCs w:val="21"/>
              </w:rPr>
              <w:t>10级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5" w:name="_Toc356463497"/>
      <w:r>
        <w:rPr>
          <w:rFonts w:hint="eastAsia" w:ascii="宋体" w:hAnsi="宋体"/>
          <w:sz w:val="21"/>
          <w:szCs w:val="21"/>
        </w:rPr>
        <w:t>下肢的结构损伤，足功能或关节功能障碍</w:t>
      </w:r>
      <w:bookmarkEnd w:id="55"/>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trPr>
        <w:tc>
          <w:tcPr>
            <w:tcW w:w="7230" w:type="dxa"/>
            <w:shd w:val="clear" w:color="auto" w:fill="auto"/>
          </w:tcPr>
          <w:p>
            <w:pPr>
              <w:pStyle w:val="42"/>
              <w:spacing w:line="360" w:lineRule="auto"/>
              <w:rPr>
                <w:sz w:val="21"/>
                <w:szCs w:val="21"/>
              </w:rPr>
            </w:pPr>
            <w:r>
              <w:rPr>
                <w:rFonts w:hint="eastAsia"/>
                <w:sz w:val="21"/>
                <w:szCs w:val="21"/>
              </w:rPr>
              <w:t>双足跗跖关节以上缺失</w:t>
            </w:r>
          </w:p>
        </w:tc>
        <w:tc>
          <w:tcPr>
            <w:tcW w:w="107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 w:hRule="atLeast"/>
        </w:trPr>
        <w:tc>
          <w:tcPr>
            <w:tcW w:w="7230" w:type="dxa"/>
            <w:shd w:val="clear" w:color="auto" w:fill="auto"/>
          </w:tcPr>
          <w:p>
            <w:pPr>
              <w:pStyle w:val="42"/>
              <w:spacing w:line="360" w:lineRule="auto"/>
              <w:rPr>
                <w:sz w:val="21"/>
                <w:szCs w:val="21"/>
              </w:rPr>
            </w:pPr>
            <w:r>
              <w:rPr>
                <w:rFonts w:hint="eastAsia"/>
                <w:sz w:val="21"/>
                <w:szCs w:val="21"/>
              </w:rPr>
              <w:t>双下肢长度相差大于等于</w:t>
            </w:r>
            <w:r>
              <w:rPr>
                <w:sz w:val="21"/>
                <w:szCs w:val="21"/>
              </w:rPr>
              <w:t>8cm</w:t>
            </w:r>
          </w:p>
        </w:tc>
        <w:tc>
          <w:tcPr>
            <w:tcW w:w="107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一下肢三大关节中，有两个关节完全丧失功能</w:t>
            </w:r>
          </w:p>
        </w:tc>
        <w:tc>
          <w:tcPr>
            <w:tcW w:w="107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双足足弓结构完全破坏</w:t>
            </w:r>
          </w:p>
        </w:tc>
        <w:tc>
          <w:tcPr>
            <w:tcW w:w="107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7230" w:type="dxa"/>
            <w:shd w:val="clear" w:color="auto" w:fill="auto"/>
          </w:tcPr>
          <w:p>
            <w:pPr>
              <w:pStyle w:val="42"/>
              <w:spacing w:line="360" w:lineRule="auto"/>
              <w:rPr>
                <w:sz w:val="21"/>
                <w:szCs w:val="21"/>
              </w:rPr>
            </w:pPr>
            <w:r>
              <w:rPr>
                <w:rFonts w:hint="eastAsia"/>
                <w:sz w:val="21"/>
                <w:szCs w:val="21"/>
              </w:rPr>
              <w:t>一足跗跖关节以上缺失</w:t>
            </w:r>
          </w:p>
        </w:tc>
        <w:tc>
          <w:tcPr>
            <w:tcW w:w="1071" w:type="dxa"/>
            <w:shd w:val="clear" w:color="auto" w:fill="auto"/>
            <w:vAlign w:val="center"/>
          </w:tcPr>
          <w:p>
            <w:pPr>
              <w:pStyle w:val="42"/>
              <w:spacing w:line="360" w:lineRule="auto"/>
              <w:jc w:val="center"/>
              <w:rPr>
                <w:sz w:val="21"/>
                <w:szCs w:val="21"/>
              </w:rPr>
            </w:pPr>
            <w:r>
              <w:rPr>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双下肢长度相差大于等于</w:t>
            </w:r>
            <w:r>
              <w:rPr>
                <w:sz w:val="21"/>
                <w:szCs w:val="21"/>
              </w:rPr>
              <w:t>6cm</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一足足弓结构完全破坏，另一足足弓结构破坏大于等于</w:t>
            </w:r>
            <w:r>
              <w:rPr>
                <w:sz w:val="21"/>
                <w:szCs w:val="21"/>
              </w:rPr>
              <w:t>1/3</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42"/>
              <w:spacing w:line="360" w:lineRule="auto"/>
              <w:rPr>
                <w:sz w:val="21"/>
                <w:szCs w:val="21"/>
              </w:rPr>
            </w:pPr>
            <w:r>
              <w:rPr>
                <w:rFonts w:hint="eastAsia"/>
                <w:sz w:val="21"/>
                <w:szCs w:val="21"/>
              </w:rPr>
              <w:t>双足十趾完全缺失</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30" w:type="dxa"/>
            <w:shd w:val="clear" w:color="auto" w:fill="auto"/>
          </w:tcPr>
          <w:p>
            <w:pPr>
              <w:pStyle w:val="42"/>
              <w:spacing w:line="360" w:lineRule="auto"/>
              <w:rPr>
                <w:sz w:val="21"/>
                <w:szCs w:val="21"/>
              </w:rPr>
            </w:pPr>
            <w:r>
              <w:rPr>
                <w:rFonts w:hint="eastAsia"/>
                <w:sz w:val="21"/>
                <w:szCs w:val="21"/>
              </w:rPr>
              <w:t>一下肢三大关节中，有一个关节完全丧失功能</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42"/>
              <w:spacing w:line="360" w:lineRule="auto"/>
              <w:rPr>
                <w:sz w:val="21"/>
                <w:szCs w:val="21"/>
              </w:rPr>
            </w:pPr>
            <w:r>
              <w:rPr>
                <w:rFonts w:hint="eastAsia"/>
                <w:sz w:val="21"/>
                <w:szCs w:val="21"/>
              </w:rPr>
              <w:t>双足十趾完全丧失功能</w:t>
            </w:r>
          </w:p>
        </w:tc>
        <w:tc>
          <w:tcPr>
            <w:tcW w:w="1071" w:type="dxa"/>
            <w:shd w:val="clear" w:color="auto" w:fill="auto"/>
            <w:vAlign w:val="center"/>
          </w:tcPr>
          <w:p>
            <w:pPr>
              <w:pStyle w:val="42"/>
              <w:spacing w:line="360" w:lineRule="auto"/>
              <w:jc w:val="center"/>
              <w:rPr>
                <w:sz w:val="21"/>
                <w:szCs w:val="21"/>
              </w:rPr>
            </w:pPr>
            <w:r>
              <w:rPr>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42"/>
              <w:spacing w:line="360" w:lineRule="auto"/>
              <w:rPr>
                <w:sz w:val="21"/>
                <w:szCs w:val="21"/>
              </w:rPr>
            </w:pPr>
            <w:r>
              <w:rPr>
                <w:rFonts w:hint="eastAsia"/>
                <w:sz w:val="21"/>
                <w:szCs w:val="21"/>
              </w:rPr>
              <w:t>双下肢长度相差大于等于</w:t>
            </w:r>
            <w:r>
              <w:rPr>
                <w:sz w:val="21"/>
                <w:szCs w:val="21"/>
              </w:rPr>
              <w:t>4cm</w:t>
            </w:r>
          </w:p>
        </w:tc>
        <w:tc>
          <w:tcPr>
            <w:tcW w:w="107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230" w:type="dxa"/>
            <w:shd w:val="clear" w:color="auto" w:fill="auto"/>
          </w:tcPr>
          <w:p>
            <w:pPr>
              <w:pStyle w:val="42"/>
              <w:spacing w:line="360" w:lineRule="auto"/>
              <w:rPr>
                <w:sz w:val="21"/>
                <w:szCs w:val="21"/>
              </w:rPr>
            </w:pPr>
            <w:r>
              <w:rPr>
                <w:rFonts w:hint="eastAsia"/>
                <w:sz w:val="21"/>
                <w:szCs w:val="21"/>
              </w:rPr>
              <w:t>一足足弓结构完全破坏</w:t>
            </w:r>
          </w:p>
        </w:tc>
        <w:tc>
          <w:tcPr>
            <w:tcW w:w="107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 w:hRule="atLeast"/>
        </w:trPr>
        <w:tc>
          <w:tcPr>
            <w:tcW w:w="7230" w:type="dxa"/>
            <w:shd w:val="clear" w:color="auto" w:fill="auto"/>
          </w:tcPr>
          <w:p>
            <w:pPr>
              <w:pStyle w:val="42"/>
              <w:spacing w:line="360" w:lineRule="auto"/>
              <w:rPr>
                <w:sz w:val="21"/>
                <w:szCs w:val="21"/>
              </w:rPr>
            </w:pPr>
            <w:r>
              <w:rPr>
                <w:rFonts w:hint="eastAsia"/>
                <w:sz w:val="21"/>
                <w:szCs w:val="21"/>
              </w:rPr>
              <w:t>双足十趾中，大于等于五趾缺失</w:t>
            </w:r>
          </w:p>
        </w:tc>
        <w:tc>
          <w:tcPr>
            <w:tcW w:w="107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一足五趾完全丧失功能</w:t>
            </w:r>
          </w:p>
        </w:tc>
        <w:tc>
          <w:tcPr>
            <w:tcW w:w="1071" w:type="dxa"/>
            <w:shd w:val="clear" w:color="auto" w:fill="auto"/>
            <w:vAlign w:val="center"/>
          </w:tcPr>
          <w:p>
            <w:pPr>
              <w:pStyle w:val="42"/>
              <w:spacing w:line="360" w:lineRule="auto"/>
              <w:jc w:val="center"/>
              <w:rPr>
                <w:sz w:val="21"/>
                <w:szCs w:val="21"/>
              </w:rPr>
            </w:pPr>
            <w:r>
              <w:rPr>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230" w:type="dxa"/>
            <w:shd w:val="clear" w:color="auto" w:fill="auto"/>
          </w:tcPr>
          <w:p>
            <w:pPr>
              <w:pStyle w:val="42"/>
              <w:spacing w:line="360" w:lineRule="auto"/>
              <w:rPr>
                <w:sz w:val="21"/>
                <w:szCs w:val="21"/>
              </w:rPr>
            </w:pPr>
            <w:r>
              <w:rPr>
                <w:rFonts w:hint="eastAsia"/>
                <w:sz w:val="21"/>
                <w:szCs w:val="21"/>
              </w:rPr>
              <w:t>一足足弓结构破坏大于等于</w:t>
            </w:r>
            <w:r>
              <w:rPr>
                <w:sz w:val="21"/>
                <w:szCs w:val="21"/>
              </w:rPr>
              <w:t>1/3</w:t>
            </w:r>
          </w:p>
        </w:tc>
        <w:tc>
          <w:tcPr>
            <w:tcW w:w="1071"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双足十趾中，大于等于两趾缺失</w:t>
            </w:r>
          </w:p>
        </w:tc>
        <w:tc>
          <w:tcPr>
            <w:tcW w:w="1071"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双下肢长度相差大于等于</w:t>
            </w:r>
            <w:r>
              <w:rPr>
                <w:sz w:val="21"/>
                <w:szCs w:val="21"/>
              </w:rPr>
              <w:t>2cm</w:t>
            </w:r>
          </w:p>
        </w:tc>
        <w:tc>
          <w:tcPr>
            <w:tcW w:w="1071" w:type="dxa"/>
            <w:shd w:val="clear" w:color="auto" w:fill="auto"/>
            <w:vAlign w:val="center"/>
          </w:tcPr>
          <w:p>
            <w:pPr>
              <w:pStyle w:val="42"/>
              <w:spacing w:line="360" w:lineRule="auto"/>
              <w:jc w:val="center"/>
              <w:rPr>
                <w:sz w:val="21"/>
                <w:szCs w:val="21"/>
              </w:rPr>
            </w:pPr>
            <w:r>
              <w:rPr>
                <w:sz w:val="21"/>
                <w:szCs w:val="21"/>
              </w:rPr>
              <w:t>10级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一下肢三大关节中，因骨折累及关节面导致一个关节功能部分丧失</w:t>
            </w:r>
          </w:p>
        </w:tc>
        <w:tc>
          <w:tcPr>
            <w:tcW w:w="1071" w:type="dxa"/>
            <w:shd w:val="clear" w:color="auto" w:fill="auto"/>
            <w:vAlign w:val="center"/>
          </w:tcPr>
          <w:p>
            <w:pPr>
              <w:pStyle w:val="42"/>
              <w:spacing w:line="360" w:lineRule="auto"/>
              <w:jc w:val="center"/>
              <w:rPr>
                <w:sz w:val="21"/>
                <w:szCs w:val="21"/>
              </w:rPr>
            </w:pPr>
            <w:r>
              <w:rPr>
                <w:sz w:val="21"/>
                <w:szCs w:val="21"/>
              </w:rPr>
              <w:t>10级</w:t>
            </w:r>
          </w:p>
        </w:tc>
      </w:tr>
    </w:tbl>
    <w:p>
      <w:pPr>
        <w:pStyle w:val="40"/>
        <w:spacing w:line="360" w:lineRule="auto"/>
        <w:rPr>
          <w:rFonts w:ascii="宋体" w:hAnsi="宋体" w:eastAsia="宋体"/>
          <w:sz w:val="21"/>
          <w:szCs w:val="21"/>
        </w:rPr>
      </w:pPr>
      <w:r>
        <w:rPr>
          <w:rFonts w:hint="eastAsia" w:ascii="宋体" w:hAnsi="宋体" w:eastAsia="宋体"/>
          <w:sz w:val="21"/>
          <w:szCs w:val="21"/>
        </w:rPr>
        <w:t xml:space="preserve">注： </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足弓结构破坏：指意外损伤导致的足弓缺失或丧失功能。</w:t>
      </w:r>
    </w:p>
    <w:p>
      <w:pPr>
        <w:pStyle w:val="40"/>
        <w:spacing w:line="360" w:lineRule="auto"/>
        <w:ind w:firstLine="567" w:firstLineChars="27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足弓结构完全破坏指足的内、外侧纵弓和横弓结构完全破坏，包括缺失和丧失功能；足弓</w:t>
      </w:r>
      <w:r>
        <w:rPr>
          <w:rFonts w:ascii="宋体" w:hAnsi="宋体" w:eastAsia="宋体"/>
          <w:sz w:val="21"/>
          <w:szCs w:val="21"/>
        </w:rPr>
        <w:t>1/3结构破坏指足三弓的任一弓的结构破坏。</w:t>
      </w:r>
    </w:p>
    <w:p>
      <w:pPr>
        <w:pStyle w:val="40"/>
        <w:spacing w:line="360" w:lineRule="auto"/>
        <w:ind w:firstLine="567" w:firstLineChars="270"/>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足趾缺失：指自趾关节以上完全切断。</w:t>
      </w: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6" w:name="_Toc356463498"/>
      <w:r>
        <w:rPr>
          <w:rFonts w:hint="eastAsia" w:ascii="宋体" w:hAnsi="宋体"/>
          <w:sz w:val="21"/>
          <w:szCs w:val="21"/>
        </w:rPr>
        <w:t>四肢的结构损伤，肢体功能或关节功能障碍</w:t>
      </w:r>
      <w:bookmarkEnd w:id="56"/>
    </w:p>
    <w:tbl>
      <w:tblPr>
        <w:tblStyle w:val="17"/>
        <w:tblW w:w="8315"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7244" w:type="dxa"/>
            <w:shd w:val="clear" w:color="auto" w:fill="auto"/>
          </w:tcPr>
          <w:p>
            <w:pPr>
              <w:pStyle w:val="42"/>
              <w:spacing w:line="360" w:lineRule="auto"/>
              <w:rPr>
                <w:sz w:val="21"/>
                <w:szCs w:val="21"/>
              </w:rPr>
            </w:pPr>
            <w:r>
              <w:rPr>
                <w:rFonts w:hint="eastAsia"/>
                <w:sz w:val="21"/>
                <w:szCs w:val="21"/>
              </w:rPr>
              <w:t>三肢以上缺失</w:t>
            </w:r>
            <w:r>
              <w:rPr>
                <w:sz w:val="21"/>
                <w:szCs w:val="21"/>
              </w:rPr>
              <w:t>(上肢在腕关节以上,下肢在踝关节以上)</w:t>
            </w:r>
          </w:p>
        </w:tc>
        <w:tc>
          <w:tcPr>
            <w:tcW w:w="1071"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244" w:type="dxa"/>
            <w:shd w:val="clear" w:color="auto" w:fill="auto"/>
          </w:tcPr>
          <w:p>
            <w:pPr>
              <w:pStyle w:val="42"/>
              <w:spacing w:line="360" w:lineRule="auto"/>
              <w:rPr>
                <w:sz w:val="21"/>
                <w:szCs w:val="21"/>
              </w:rPr>
            </w:pPr>
            <w:r>
              <w:rPr>
                <w:rFonts w:hint="eastAsia"/>
                <w:sz w:val="21"/>
                <w:szCs w:val="21"/>
              </w:rPr>
              <w:t>三肢以上完全丧失功能</w:t>
            </w:r>
          </w:p>
        </w:tc>
        <w:tc>
          <w:tcPr>
            <w:tcW w:w="1071"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7244" w:type="dxa"/>
            <w:shd w:val="clear" w:color="auto" w:fill="auto"/>
          </w:tcPr>
          <w:p>
            <w:pPr>
              <w:pStyle w:val="42"/>
              <w:spacing w:line="360" w:lineRule="auto"/>
              <w:rPr>
                <w:sz w:val="21"/>
                <w:szCs w:val="21"/>
              </w:rPr>
            </w:pPr>
            <w:r>
              <w:rPr>
                <w:rFonts w:hint="eastAsia"/>
                <w:sz w:val="21"/>
                <w:szCs w:val="21"/>
              </w:rPr>
              <w:t>二肢缺失（上肢在腕关节以上，下肢在踝关节以上），且第三肢完全丧失功能</w:t>
            </w:r>
          </w:p>
        </w:tc>
        <w:tc>
          <w:tcPr>
            <w:tcW w:w="1071"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4" w:type="dxa"/>
            <w:shd w:val="clear" w:color="auto" w:fill="auto"/>
          </w:tcPr>
          <w:p>
            <w:pPr>
              <w:pStyle w:val="42"/>
              <w:spacing w:line="360" w:lineRule="auto"/>
              <w:rPr>
                <w:sz w:val="21"/>
                <w:szCs w:val="21"/>
              </w:rPr>
            </w:pPr>
            <w:r>
              <w:rPr>
                <w:rFonts w:hint="eastAsia"/>
                <w:sz w:val="21"/>
                <w:szCs w:val="21"/>
              </w:rPr>
              <w:t>一肢缺失（上肢在腕关节以上，下肢在踝关节以上），且另二肢完全丧失功能</w:t>
            </w:r>
          </w:p>
        </w:tc>
        <w:tc>
          <w:tcPr>
            <w:tcW w:w="1071"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4" w:type="dxa"/>
            <w:shd w:val="clear" w:color="auto" w:fill="auto"/>
          </w:tcPr>
          <w:p>
            <w:pPr>
              <w:pStyle w:val="42"/>
              <w:spacing w:line="360" w:lineRule="auto"/>
              <w:rPr>
                <w:sz w:val="21"/>
                <w:szCs w:val="21"/>
              </w:rPr>
            </w:pPr>
            <w:r>
              <w:rPr>
                <w:rFonts w:hint="eastAsia"/>
                <w:sz w:val="21"/>
                <w:szCs w:val="21"/>
              </w:rPr>
              <w:t>二肢缺失</w:t>
            </w:r>
            <w:r>
              <w:rPr>
                <w:sz w:val="21"/>
                <w:szCs w:val="21"/>
              </w:rPr>
              <w:t>(上肢在肘关节以上，下肢在膝关节以上)</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trPr>
        <w:tc>
          <w:tcPr>
            <w:tcW w:w="7244" w:type="dxa"/>
            <w:shd w:val="clear" w:color="auto" w:fill="auto"/>
          </w:tcPr>
          <w:p>
            <w:pPr>
              <w:pStyle w:val="42"/>
              <w:spacing w:line="360" w:lineRule="auto"/>
              <w:rPr>
                <w:sz w:val="21"/>
                <w:szCs w:val="21"/>
              </w:rPr>
            </w:pPr>
            <w:r>
              <w:rPr>
                <w:rFonts w:hint="eastAsia"/>
                <w:sz w:val="21"/>
                <w:szCs w:val="21"/>
              </w:rPr>
              <w:t>一肢缺失（上肢在肘关节以上，下肢在膝关节以上），且另一肢完全丧失功能</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7244" w:type="dxa"/>
            <w:shd w:val="clear" w:color="auto" w:fill="auto"/>
          </w:tcPr>
          <w:p>
            <w:pPr>
              <w:pStyle w:val="42"/>
              <w:spacing w:line="360" w:lineRule="auto"/>
              <w:rPr>
                <w:sz w:val="21"/>
                <w:szCs w:val="21"/>
              </w:rPr>
            </w:pPr>
            <w:r>
              <w:rPr>
                <w:rFonts w:hint="eastAsia"/>
                <w:sz w:val="21"/>
                <w:szCs w:val="21"/>
              </w:rPr>
              <w:t>二肢完全丧失功能</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 w:hRule="atLeast"/>
        </w:trPr>
        <w:tc>
          <w:tcPr>
            <w:tcW w:w="7244" w:type="dxa"/>
            <w:shd w:val="clear" w:color="auto" w:fill="auto"/>
          </w:tcPr>
          <w:p>
            <w:pPr>
              <w:pStyle w:val="42"/>
              <w:spacing w:line="360" w:lineRule="auto"/>
              <w:rPr>
                <w:sz w:val="21"/>
                <w:szCs w:val="21"/>
              </w:rPr>
            </w:pPr>
            <w:r>
              <w:rPr>
                <w:rFonts w:hint="eastAsia"/>
                <w:sz w:val="21"/>
                <w:szCs w:val="21"/>
              </w:rPr>
              <w:t>一肢缺失（上肢在腕关节以上，下肢在踝关节以上），且另一肢完全丧失功能</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trPr>
        <w:tc>
          <w:tcPr>
            <w:tcW w:w="7244" w:type="dxa"/>
            <w:shd w:val="clear" w:color="auto" w:fill="auto"/>
          </w:tcPr>
          <w:p>
            <w:pPr>
              <w:pStyle w:val="42"/>
              <w:spacing w:line="360" w:lineRule="auto"/>
              <w:rPr>
                <w:sz w:val="21"/>
                <w:szCs w:val="21"/>
              </w:rPr>
            </w:pPr>
            <w:r>
              <w:rPr>
                <w:rFonts w:hint="eastAsia"/>
                <w:sz w:val="21"/>
                <w:szCs w:val="21"/>
              </w:rPr>
              <w:t>二肢缺失</w:t>
            </w:r>
            <w:r>
              <w:rPr>
                <w:sz w:val="21"/>
                <w:szCs w:val="21"/>
              </w:rPr>
              <w:t>(上肢在腕关节以上，下肢在踝关节以上)</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7244" w:type="dxa"/>
            <w:shd w:val="clear" w:color="auto" w:fill="auto"/>
          </w:tcPr>
          <w:p>
            <w:pPr>
              <w:pStyle w:val="42"/>
              <w:spacing w:line="360" w:lineRule="auto"/>
              <w:rPr>
                <w:sz w:val="21"/>
                <w:szCs w:val="21"/>
              </w:rPr>
            </w:pPr>
            <w:r>
              <w:rPr>
                <w:rFonts w:hint="eastAsia"/>
                <w:sz w:val="21"/>
                <w:szCs w:val="21"/>
              </w:rPr>
              <w:t>两上肢、或两下肢、或一上肢及一下肢，各有三大关节中的两个关节完全丧失功能</w:t>
            </w:r>
          </w:p>
        </w:tc>
        <w:tc>
          <w:tcPr>
            <w:tcW w:w="1071" w:type="dxa"/>
            <w:shd w:val="clear" w:color="auto" w:fill="auto"/>
            <w:vAlign w:val="center"/>
          </w:tcPr>
          <w:p>
            <w:pPr>
              <w:pStyle w:val="42"/>
              <w:spacing w:line="360" w:lineRule="auto"/>
              <w:jc w:val="center"/>
              <w:rPr>
                <w:sz w:val="21"/>
                <w:szCs w:val="21"/>
              </w:rPr>
            </w:pPr>
            <w:r>
              <w:rPr>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4" w:type="dxa"/>
            <w:shd w:val="clear" w:color="auto" w:fill="auto"/>
          </w:tcPr>
          <w:p>
            <w:pPr>
              <w:pStyle w:val="42"/>
              <w:spacing w:line="360" w:lineRule="auto"/>
              <w:rPr>
                <w:sz w:val="21"/>
                <w:szCs w:val="21"/>
              </w:rPr>
            </w:pPr>
            <w:r>
              <w:rPr>
                <w:rFonts w:hint="eastAsia"/>
                <w:sz w:val="21"/>
                <w:szCs w:val="21"/>
              </w:rPr>
              <w:t>一肢缺失</w:t>
            </w:r>
            <w:r>
              <w:rPr>
                <w:sz w:val="21"/>
                <w:szCs w:val="21"/>
              </w:rPr>
              <w:t>(上肢在肘关节以上，下肢在膝关节以上)</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一肢完全丧失功能</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trPr>
        <w:tc>
          <w:tcPr>
            <w:tcW w:w="7244" w:type="dxa"/>
            <w:shd w:val="clear" w:color="auto" w:fill="auto"/>
          </w:tcPr>
          <w:p>
            <w:pPr>
              <w:pStyle w:val="42"/>
              <w:spacing w:line="360" w:lineRule="auto"/>
              <w:rPr>
                <w:sz w:val="21"/>
                <w:szCs w:val="21"/>
              </w:rPr>
            </w:pPr>
            <w:r>
              <w:rPr>
                <w:rFonts w:hint="eastAsia"/>
                <w:sz w:val="21"/>
                <w:szCs w:val="21"/>
              </w:rPr>
              <w:t>一肢缺失</w:t>
            </w:r>
            <w:r>
              <w:rPr>
                <w:sz w:val="21"/>
                <w:szCs w:val="21"/>
              </w:rPr>
              <w:t>(上肢在腕关节以上，下肢在踝关节以上)</w:t>
            </w:r>
          </w:p>
        </w:tc>
        <w:tc>
          <w:tcPr>
            <w:tcW w:w="107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4" w:type="dxa"/>
            <w:shd w:val="clear" w:color="auto" w:fill="auto"/>
          </w:tcPr>
          <w:p>
            <w:pPr>
              <w:pStyle w:val="42"/>
              <w:spacing w:line="360" w:lineRule="auto"/>
              <w:rPr>
                <w:sz w:val="21"/>
                <w:szCs w:val="21"/>
              </w:rPr>
            </w:pPr>
            <w:r>
              <w:rPr>
                <w:rFonts w:hint="eastAsia"/>
                <w:sz w:val="21"/>
                <w:szCs w:val="21"/>
              </w:rPr>
              <w:t>四肢长骨一骺板以上粉碎性骨折</w:t>
            </w:r>
          </w:p>
        </w:tc>
        <w:tc>
          <w:tcPr>
            <w:tcW w:w="1071" w:type="dxa"/>
            <w:shd w:val="clear" w:color="auto" w:fill="auto"/>
            <w:vAlign w:val="center"/>
          </w:tcPr>
          <w:p>
            <w:pPr>
              <w:pStyle w:val="42"/>
              <w:spacing w:line="360" w:lineRule="auto"/>
              <w:jc w:val="center"/>
              <w:rPr>
                <w:sz w:val="21"/>
                <w:szCs w:val="21"/>
              </w:rPr>
            </w:pPr>
            <w:r>
              <w:rPr>
                <w:sz w:val="21"/>
                <w:szCs w:val="21"/>
              </w:rPr>
              <w:t>9级</w:t>
            </w:r>
          </w:p>
        </w:tc>
      </w:tr>
    </w:tbl>
    <w:p>
      <w:pPr>
        <w:pStyle w:val="40"/>
        <w:spacing w:line="360" w:lineRule="auto"/>
        <w:rPr>
          <w:rFonts w:ascii="宋体" w:hAnsi="宋体" w:eastAsia="宋体"/>
          <w:sz w:val="21"/>
          <w:szCs w:val="21"/>
        </w:rPr>
      </w:pPr>
      <w:r>
        <w:rPr>
          <w:rFonts w:hint="eastAsia" w:ascii="宋体" w:hAnsi="宋体" w:eastAsia="宋体"/>
          <w:sz w:val="21"/>
          <w:szCs w:val="21"/>
        </w:rPr>
        <w:t>注：</w:t>
      </w:r>
      <w:r>
        <w:rPr>
          <w:rFonts w:ascii="宋体" w:hAnsi="宋体" w:eastAsia="宋体"/>
          <w:color w:val="000000"/>
          <w:sz w:val="21"/>
          <w:szCs w:val="21"/>
        </w:rPr>
        <w:fldChar w:fldCharType="begin"/>
      </w:r>
      <w:r>
        <w:rPr>
          <w:rFonts w:ascii="宋体" w:hAnsi="宋体" w:eastAsia="宋体"/>
          <w:color w:val="000000"/>
          <w:sz w:val="21"/>
          <w:szCs w:val="21"/>
        </w:rPr>
        <w:instrText xml:space="preserve"> = 1 \* GB3 </w:instrText>
      </w:r>
      <w:r>
        <w:rPr>
          <w:rFonts w:ascii="宋体" w:hAnsi="宋体" w:eastAsia="宋体"/>
          <w:color w:val="000000"/>
          <w:sz w:val="21"/>
          <w:szCs w:val="21"/>
        </w:rPr>
        <w:fldChar w:fldCharType="separate"/>
      </w:r>
      <w:r>
        <w:rPr>
          <w:rFonts w:hint="eastAsia" w:ascii="宋体" w:hAnsi="宋体" w:eastAsia="宋体"/>
          <w:color w:val="000000"/>
          <w:sz w:val="21"/>
          <w:szCs w:val="21"/>
        </w:rPr>
        <w:t>①</w:t>
      </w:r>
      <w:r>
        <w:rPr>
          <w:rFonts w:ascii="宋体" w:hAnsi="宋体" w:eastAsia="宋体"/>
          <w:color w:val="000000"/>
          <w:sz w:val="21"/>
          <w:szCs w:val="21"/>
        </w:rPr>
        <w:fldChar w:fldCharType="end"/>
      </w:r>
      <w:r>
        <w:rPr>
          <w:rFonts w:ascii="宋体" w:hAnsi="宋体" w:eastAsia="宋体"/>
          <w:color w:val="000000"/>
          <w:sz w:val="21"/>
          <w:szCs w:val="21"/>
        </w:rPr>
        <w:t xml:space="preserve"> </w:t>
      </w:r>
      <w:r>
        <w:rPr>
          <w:rFonts w:hint="eastAsia" w:ascii="宋体" w:hAnsi="宋体" w:eastAsia="宋体"/>
          <w:color w:val="000000"/>
          <w:sz w:val="21"/>
          <w:szCs w:val="21"/>
        </w:rPr>
        <w:t>骺板</w:t>
      </w:r>
      <w:r>
        <w:rPr>
          <w:rFonts w:hint="eastAsia" w:ascii="宋体" w:hAnsi="宋体" w:eastAsia="宋体"/>
          <w:sz w:val="21"/>
          <w:szCs w:val="21"/>
        </w:rPr>
        <w:t>：骺板的定义只适用于儿童，四肢长骨骺板骨折可能影响肢体发育，如果存在肢体发育障碍的，应当另行评定伤残等级。</w:t>
      </w:r>
    </w:p>
    <w:p>
      <w:pPr>
        <w:pStyle w:val="40"/>
        <w:spacing w:line="360" w:lineRule="auto"/>
        <w:ind w:firstLine="525" w:firstLineChars="25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肢体丧失功能指意外损伤导致肢体三大关节（上肢腕关节、肘关节、肩关节或下肢踝关节、膝关节、髋关节）功能的丧失。</w:t>
      </w:r>
    </w:p>
    <w:p>
      <w:pPr>
        <w:pStyle w:val="40"/>
        <w:spacing w:line="360" w:lineRule="auto"/>
        <w:ind w:firstLine="525" w:firstLineChars="250"/>
        <w:rPr>
          <w:rFonts w:hint="eastAsia"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关节功能的</w:t>
      </w:r>
      <w:r>
        <w:rPr>
          <w:rFonts w:hint="eastAsia" w:ascii="宋体" w:hAnsi="宋体" w:eastAsia="宋体"/>
          <w:sz w:val="21"/>
          <w:szCs w:val="21"/>
        </w:rPr>
        <w:t>丧失指关节永久完全僵硬、或麻痹、或关节不能随意识活动。</w:t>
      </w: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7" w:name="_Toc356463499"/>
      <w:r>
        <w:rPr>
          <w:rFonts w:hint="eastAsia" w:ascii="宋体" w:hAnsi="宋体"/>
          <w:sz w:val="21"/>
          <w:szCs w:val="21"/>
        </w:rPr>
        <w:t>脊柱结构损伤和关节活动功能障碍</w:t>
      </w:r>
      <w:bookmarkEnd w:id="57"/>
    </w:p>
    <w:p>
      <w:pPr>
        <w:spacing w:line="360" w:lineRule="auto"/>
        <w:ind w:firstLine="420" w:firstLineChars="200"/>
        <w:contextualSpacing/>
        <w:rPr>
          <w:rFonts w:ascii="宋体" w:hAnsi="宋体"/>
          <w:szCs w:val="21"/>
        </w:rPr>
      </w:pPr>
      <w:r>
        <w:rPr>
          <w:rFonts w:hint="eastAsia" w:ascii="宋体" w:hAnsi="宋体"/>
          <w:szCs w:val="21"/>
        </w:rPr>
        <w:t>本标准中的脊柱结构损伤是指</w:t>
      </w:r>
      <w:r>
        <w:rPr>
          <w:rFonts w:hint="eastAsia" w:ascii="宋体" w:hAnsi="宋体" w:cs="Arial"/>
          <w:szCs w:val="21"/>
        </w:rPr>
        <w:t>颈椎或腰椎的骨折脱位</w:t>
      </w:r>
      <w:r>
        <w:rPr>
          <w:rFonts w:hint="eastAsia" w:ascii="宋体" w:hAnsi="宋体"/>
          <w:szCs w:val="21"/>
        </w:rPr>
        <w:t>，本标准中的关节活动功能障碍是指颈部或腰部活动度丧失。</w:t>
      </w:r>
    </w:p>
    <w:tbl>
      <w:tblPr>
        <w:tblStyle w:val="17"/>
        <w:tblW w:w="8288" w:type="dxa"/>
        <w:tblInd w:w="93" w:type="dxa"/>
        <w:tblLayout w:type="fixed"/>
        <w:tblCellMar>
          <w:top w:w="0" w:type="dxa"/>
          <w:left w:w="108" w:type="dxa"/>
          <w:bottom w:w="0" w:type="dxa"/>
          <w:right w:w="108" w:type="dxa"/>
        </w:tblCellMar>
      </w:tblPr>
      <w:tblGrid>
        <w:gridCol w:w="7245"/>
        <w:gridCol w:w="1043"/>
      </w:tblGrid>
      <w:tr>
        <w:tblPrEx>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line="360" w:lineRule="auto"/>
              <w:rPr>
                <w:sz w:val="21"/>
                <w:szCs w:val="21"/>
              </w:rPr>
            </w:pPr>
            <w:r>
              <w:rPr>
                <w:rFonts w:hint="eastAsia"/>
                <w:sz w:val="21"/>
                <w:szCs w:val="21"/>
              </w:rPr>
              <w:t>脊柱骨折脱位导致颈椎或腰椎畸形愈合，且颈部或腰部活动度丧失大于等于</w:t>
            </w:r>
            <w:r>
              <w:rPr>
                <w:sz w:val="21"/>
                <w:szCs w:val="21"/>
              </w:rPr>
              <w:t>75%</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215" w:hRule="atLeast"/>
        </w:trPr>
        <w:tc>
          <w:tcPr>
            <w:tcW w:w="7245" w:type="dxa"/>
            <w:tcBorders>
              <w:top w:val="nil"/>
              <w:left w:val="single" w:color="auto" w:sz="4" w:space="0"/>
              <w:bottom w:val="single" w:color="auto" w:sz="4" w:space="0"/>
              <w:right w:val="single" w:color="auto" w:sz="4" w:space="0"/>
            </w:tcBorders>
            <w:shd w:val="clear" w:color="auto" w:fill="auto"/>
            <w:vAlign w:val="center"/>
          </w:tcPr>
          <w:p>
            <w:pPr>
              <w:pStyle w:val="42"/>
              <w:spacing w:line="360" w:lineRule="auto"/>
              <w:rPr>
                <w:sz w:val="21"/>
                <w:szCs w:val="21"/>
              </w:rPr>
            </w:pPr>
            <w:r>
              <w:rPr>
                <w:rFonts w:hint="eastAsia"/>
                <w:sz w:val="21"/>
                <w:szCs w:val="21"/>
              </w:rPr>
              <w:t>脊柱骨折脱位导致颈椎或腰椎畸形愈合，且颈部或腰部活动度丧失大于等于</w:t>
            </w:r>
            <w:r>
              <w:rPr>
                <w:sz w:val="21"/>
                <w:szCs w:val="21"/>
              </w:rPr>
              <w:t>50%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151" w:hRule="atLeast"/>
        </w:trPr>
        <w:tc>
          <w:tcPr>
            <w:tcW w:w="7245" w:type="dxa"/>
            <w:tcBorders>
              <w:top w:val="nil"/>
              <w:left w:val="single" w:color="auto" w:sz="4" w:space="0"/>
              <w:bottom w:val="single" w:color="auto" w:sz="4" w:space="0"/>
              <w:right w:val="single" w:color="auto" w:sz="4" w:space="0"/>
            </w:tcBorders>
            <w:shd w:val="clear" w:color="auto" w:fill="auto"/>
            <w:vAlign w:val="center"/>
          </w:tcPr>
          <w:p>
            <w:pPr>
              <w:pStyle w:val="42"/>
              <w:spacing w:line="360" w:lineRule="auto"/>
              <w:rPr>
                <w:sz w:val="21"/>
                <w:szCs w:val="21"/>
              </w:rPr>
            </w:pPr>
            <w:r>
              <w:rPr>
                <w:rFonts w:hint="eastAsia"/>
                <w:sz w:val="21"/>
                <w:szCs w:val="21"/>
              </w:rPr>
              <w:t>脊柱骨折脱位导致颈椎或腰椎畸形愈合，且颈部或腰部活动度丧失大于等于</w:t>
            </w:r>
            <w:r>
              <w:rPr>
                <w:sz w:val="21"/>
                <w:szCs w:val="21"/>
              </w:rPr>
              <w:t>25%</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9级</w:t>
            </w:r>
          </w:p>
        </w:tc>
      </w:tr>
    </w:tbl>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58" w:name="_Toc349832779"/>
      <w:bookmarkEnd w:id="58"/>
      <w:bookmarkStart w:id="59" w:name="_Toc349826845"/>
      <w:bookmarkEnd w:id="59"/>
      <w:bookmarkStart w:id="60" w:name="_Toc349827001"/>
      <w:bookmarkEnd w:id="60"/>
      <w:bookmarkStart w:id="61" w:name="_Toc349833434"/>
      <w:bookmarkEnd w:id="61"/>
      <w:bookmarkStart w:id="62" w:name="_Toc349833830"/>
      <w:bookmarkEnd w:id="62"/>
      <w:bookmarkStart w:id="63" w:name="_Toc356463500"/>
      <w:r>
        <w:rPr>
          <w:rFonts w:hint="eastAsia" w:ascii="宋体" w:hAnsi="宋体"/>
          <w:sz w:val="21"/>
          <w:szCs w:val="21"/>
        </w:rPr>
        <w:t>肌肉力量功能障碍</w:t>
      </w:r>
      <w:bookmarkEnd w:id="63"/>
    </w:p>
    <w:p>
      <w:pPr>
        <w:spacing w:line="360" w:lineRule="auto"/>
        <w:ind w:firstLine="420" w:firstLineChars="200"/>
        <w:rPr>
          <w:rFonts w:ascii="宋体" w:hAnsi="宋体"/>
          <w:szCs w:val="21"/>
        </w:rPr>
      </w:pPr>
      <w:r>
        <w:rPr>
          <w:rFonts w:hint="eastAsia" w:ascii="宋体" w:hAnsi="宋体"/>
          <w:szCs w:val="21"/>
        </w:rPr>
        <w:t>肌肉力量功能是指与肌肉或肌群收缩产生力量有关的功能。本标准中的肌肉力量功能障碍是指四肢瘫、偏瘫、截瘫或单瘫。</w:t>
      </w:r>
    </w:p>
    <w:tbl>
      <w:tblPr>
        <w:tblStyle w:val="17"/>
        <w:tblW w:w="83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trPr>
        <w:tc>
          <w:tcPr>
            <w:tcW w:w="7230" w:type="dxa"/>
            <w:shd w:val="clear" w:color="auto" w:fill="auto"/>
          </w:tcPr>
          <w:p>
            <w:pPr>
              <w:pStyle w:val="42"/>
              <w:spacing w:line="360" w:lineRule="auto"/>
              <w:rPr>
                <w:sz w:val="21"/>
                <w:szCs w:val="21"/>
              </w:rPr>
            </w:pPr>
            <w:r>
              <w:rPr>
                <w:rFonts w:hint="eastAsia"/>
                <w:sz w:val="21"/>
                <w:szCs w:val="21"/>
              </w:rPr>
              <w:t>四肢瘫（三肢以上肌力小于等于</w:t>
            </w:r>
            <w:r>
              <w:rPr>
                <w:sz w:val="21"/>
                <w:szCs w:val="21"/>
              </w:rPr>
              <w:t>3级)</w:t>
            </w:r>
          </w:p>
        </w:tc>
        <w:tc>
          <w:tcPr>
            <w:tcW w:w="1071"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7230" w:type="dxa"/>
            <w:shd w:val="clear" w:color="auto" w:fill="auto"/>
          </w:tcPr>
          <w:p>
            <w:pPr>
              <w:pStyle w:val="42"/>
              <w:spacing w:line="360" w:lineRule="auto"/>
              <w:rPr>
                <w:sz w:val="21"/>
                <w:szCs w:val="21"/>
              </w:rPr>
            </w:pPr>
            <w:r>
              <w:rPr>
                <w:rFonts w:hint="eastAsia"/>
                <w:sz w:val="21"/>
                <w:szCs w:val="21"/>
              </w:rPr>
              <w:t>截瘫</w:t>
            </w:r>
            <w:r>
              <w:rPr>
                <w:sz w:val="21"/>
                <w:szCs w:val="21"/>
              </w:rPr>
              <w:t>(肌力小于等于2级)且大便和小便失禁</w:t>
            </w:r>
          </w:p>
        </w:tc>
        <w:tc>
          <w:tcPr>
            <w:tcW w:w="1071" w:type="dxa"/>
            <w:shd w:val="clear" w:color="auto" w:fill="auto"/>
            <w:vAlign w:val="center"/>
          </w:tcPr>
          <w:p>
            <w:pPr>
              <w:pStyle w:val="42"/>
              <w:spacing w:line="360" w:lineRule="auto"/>
              <w:jc w:val="center"/>
              <w:rPr>
                <w:sz w:val="21"/>
                <w:szCs w:val="21"/>
              </w:rPr>
            </w:pPr>
            <w:r>
              <w:rPr>
                <w:sz w:val="21"/>
                <w:szCs w:val="21"/>
              </w:rPr>
              <w:t>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30" w:type="dxa"/>
            <w:shd w:val="clear" w:color="auto" w:fill="auto"/>
          </w:tcPr>
          <w:p>
            <w:pPr>
              <w:pStyle w:val="42"/>
              <w:spacing w:line="360" w:lineRule="auto"/>
              <w:rPr>
                <w:sz w:val="21"/>
                <w:szCs w:val="21"/>
              </w:rPr>
            </w:pPr>
            <w:r>
              <w:rPr>
                <w:rFonts w:hint="eastAsia"/>
                <w:sz w:val="21"/>
                <w:szCs w:val="21"/>
              </w:rPr>
              <w:t>四肢瘫（二肢以上肌力小于等于</w:t>
            </w:r>
            <w:r>
              <w:rPr>
                <w:sz w:val="21"/>
                <w:szCs w:val="21"/>
              </w:rPr>
              <w:t>2级)</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偏瘫（肌力小于等于</w:t>
            </w:r>
            <w:r>
              <w:rPr>
                <w:sz w:val="21"/>
                <w:szCs w:val="21"/>
              </w:rPr>
              <w:t>2级)</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 w:hRule="atLeast"/>
        </w:trPr>
        <w:tc>
          <w:tcPr>
            <w:tcW w:w="7230" w:type="dxa"/>
            <w:shd w:val="clear" w:color="auto" w:fill="auto"/>
          </w:tcPr>
          <w:p>
            <w:pPr>
              <w:pStyle w:val="42"/>
              <w:spacing w:line="360" w:lineRule="auto"/>
              <w:rPr>
                <w:sz w:val="21"/>
                <w:szCs w:val="21"/>
              </w:rPr>
            </w:pPr>
            <w:r>
              <w:rPr>
                <w:rFonts w:hint="eastAsia"/>
                <w:sz w:val="21"/>
                <w:szCs w:val="21"/>
              </w:rPr>
              <w:t>截瘫（肌力小于等于</w:t>
            </w:r>
            <w:r>
              <w:rPr>
                <w:sz w:val="21"/>
                <w:szCs w:val="21"/>
              </w:rPr>
              <w:t>2级)</w:t>
            </w:r>
          </w:p>
        </w:tc>
        <w:tc>
          <w:tcPr>
            <w:tcW w:w="1071" w:type="dxa"/>
            <w:shd w:val="clear" w:color="auto" w:fill="auto"/>
            <w:vAlign w:val="center"/>
          </w:tcPr>
          <w:p>
            <w:pPr>
              <w:pStyle w:val="42"/>
              <w:spacing w:line="360" w:lineRule="auto"/>
              <w:jc w:val="center"/>
              <w:rPr>
                <w:sz w:val="21"/>
                <w:szCs w:val="21"/>
              </w:rPr>
            </w:pPr>
            <w:r>
              <w:rPr>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7230" w:type="dxa"/>
            <w:shd w:val="clear" w:color="auto" w:fill="auto"/>
          </w:tcPr>
          <w:p>
            <w:pPr>
              <w:pStyle w:val="42"/>
              <w:spacing w:line="360" w:lineRule="auto"/>
              <w:rPr>
                <w:sz w:val="21"/>
                <w:szCs w:val="21"/>
              </w:rPr>
            </w:pPr>
            <w:r>
              <w:rPr>
                <w:rFonts w:hint="eastAsia"/>
                <w:sz w:val="21"/>
                <w:szCs w:val="21"/>
              </w:rPr>
              <w:t>四肢瘫（二肢以上肌力小于等于</w:t>
            </w:r>
            <w:r>
              <w:rPr>
                <w:sz w:val="21"/>
                <w:szCs w:val="21"/>
              </w:rPr>
              <w:t>3级)</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7230" w:type="dxa"/>
            <w:shd w:val="clear" w:color="auto" w:fill="auto"/>
          </w:tcPr>
          <w:p>
            <w:pPr>
              <w:pStyle w:val="42"/>
              <w:spacing w:line="360" w:lineRule="auto"/>
              <w:rPr>
                <w:sz w:val="21"/>
                <w:szCs w:val="21"/>
              </w:rPr>
            </w:pPr>
            <w:r>
              <w:rPr>
                <w:rFonts w:hint="eastAsia"/>
                <w:sz w:val="21"/>
                <w:szCs w:val="21"/>
              </w:rPr>
              <w:t>偏瘫（肌力小于等于</w:t>
            </w:r>
            <w:r>
              <w:rPr>
                <w:sz w:val="21"/>
                <w:szCs w:val="21"/>
              </w:rPr>
              <w:t>3级)</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截瘫（肌力小于等于</w:t>
            </w:r>
            <w:r>
              <w:rPr>
                <w:sz w:val="21"/>
                <w:szCs w:val="21"/>
              </w:rPr>
              <w:t>3级)</w:t>
            </w:r>
          </w:p>
        </w:tc>
        <w:tc>
          <w:tcPr>
            <w:tcW w:w="1071" w:type="dxa"/>
            <w:shd w:val="clear" w:color="auto" w:fill="auto"/>
            <w:vAlign w:val="center"/>
          </w:tcPr>
          <w:p>
            <w:pPr>
              <w:pStyle w:val="42"/>
              <w:spacing w:line="360" w:lineRule="auto"/>
              <w:jc w:val="center"/>
              <w:rPr>
                <w:sz w:val="21"/>
                <w:szCs w:val="21"/>
              </w:rPr>
            </w:pPr>
            <w:r>
              <w:rPr>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四肢瘫（二肢以上肌力小于等于4</w:t>
            </w:r>
            <w:r>
              <w:rPr>
                <w:sz w:val="21"/>
                <w:szCs w:val="21"/>
              </w:rPr>
              <w:t>级)</w:t>
            </w:r>
          </w:p>
        </w:tc>
        <w:tc>
          <w:tcPr>
            <w:tcW w:w="1071" w:type="dxa"/>
            <w:shd w:val="clear" w:color="auto" w:fill="auto"/>
            <w:vAlign w:val="center"/>
          </w:tcPr>
          <w:p>
            <w:pPr>
              <w:pStyle w:val="42"/>
              <w:spacing w:line="360" w:lineRule="auto"/>
              <w:jc w:val="center"/>
              <w:rPr>
                <w:sz w:val="21"/>
                <w:szCs w:val="21"/>
              </w:rPr>
            </w:pPr>
            <w:r>
              <w:rPr>
                <w:rFonts w:hint="eastAsia"/>
                <w:sz w:val="21"/>
                <w:szCs w:val="21"/>
              </w:rPr>
              <w:t>4</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偏瘫（一肢肌力小于等于</w:t>
            </w:r>
            <w:r>
              <w:rPr>
                <w:sz w:val="21"/>
                <w:szCs w:val="21"/>
              </w:rPr>
              <w:t>2级)</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截瘫（一肢肌力小于等于</w:t>
            </w:r>
            <w:r>
              <w:rPr>
                <w:sz w:val="21"/>
                <w:szCs w:val="21"/>
              </w:rPr>
              <w:t>2级)</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7230" w:type="dxa"/>
            <w:shd w:val="clear" w:color="auto" w:fill="auto"/>
          </w:tcPr>
          <w:p>
            <w:pPr>
              <w:pStyle w:val="42"/>
              <w:spacing w:line="360" w:lineRule="auto"/>
              <w:rPr>
                <w:sz w:val="21"/>
                <w:szCs w:val="21"/>
              </w:rPr>
            </w:pPr>
            <w:r>
              <w:rPr>
                <w:rFonts w:hint="eastAsia"/>
                <w:sz w:val="21"/>
                <w:szCs w:val="21"/>
              </w:rPr>
              <w:t>单瘫（肌力小于等于</w:t>
            </w:r>
            <w:r>
              <w:rPr>
                <w:sz w:val="21"/>
                <w:szCs w:val="21"/>
              </w:rPr>
              <w:t>2级)</w:t>
            </w:r>
          </w:p>
        </w:tc>
        <w:tc>
          <w:tcPr>
            <w:tcW w:w="1071" w:type="dxa"/>
            <w:shd w:val="clear" w:color="auto" w:fill="auto"/>
            <w:vAlign w:val="center"/>
          </w:tcPr>
          <w:p>
            <w:pPr>
              <w:pStyle w:val="42"/>
              <w:spacing w:line="360" w:lineRule="auto"/>
              <w:jc w:val="center"/>
              <w:rPr>
                <w:sz w:val="21"/>
                <w:szCs w:val="21"/>
              </w:rPr>
            </w:pPr>
            <w:r>
              <w:rPr>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偏瘫（一肢肌力小于等于</w:t>
            </w:r>
            <w:r>
              <w:rPr>
                <w:sz w:val="21"/>
                <w:szCs w:val="21"/>
              </w:rPr>
              <w:t>3级)</w:t>
            </w:r>
          </w:p>
        </w:tc>
        <w:tc>
          <w:tcPr>
            <w:tcW w:w="107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30" w:type="dxa"/>
            <w:shd w:val="clear" w:color="auto" w:fill="auto"/>
          </w:tcPr>
          <w:p>
            <w:pPr>
              <w:pStyle w:val="42"/>
              <w:spacing w:line="360" w:lineRule="auto"/>
              <w:rPr>
                <w:sz w:val="21"/>
                <w:szCs w:val="21"/>
              </w:rPr>
            </w:pPr>
            <w:r>
              <w:rPr>
                <w:rFonts w:hint="eastAsia"/>
                <w:sz w:val="21"/>
                <w:szCs w:val="21"/>
              </w:rPr>
              <w:t>截瘫（一肢肌力小于等于</w:t>
            </w:r>
            <w:r>
              <w:rPr>
                <w:sz w:val="21"/>
                <w:szCs w:val="21"/>
              </w:rPr>
              <w:t>3级)</w:t>
            </w:r>
          </w:p>
        </w:tc>
        <w:tc>
          <w:tcPr>
            <w:tcW w:w="1071" w:type="dxa"/>
            <w:shd w:val="clear" w:color="auto" w:fill="auto"/>
            <w:vAlign w:val="center"/>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 w:hRule="atLeast"/>
        </w:trPr>
        <w:tc>
          <w:tcPr>
            <w:tcW w:w="7230" w:type="dxa"/>
            <w:shd w:val="clear" w:color="auto" w:fill="auto"/>
          </w:tcPr>
          <w:p>
            <w:pPr>
              <w:pStyle w:val="42"/>
              <w:spacing w:line="360" w:lineRule="auto"/>
              <w:rPr>
                <w:sz w:val="21"/>
                <w:szCs w:val="21"/>
              </w:rPr>
            </w:pPr>
            <w:r>
              <w:rPr>
                <w:rFonts w:hint="eastAsia"/>
                <w:sz w:val="21"/>
                <w:szCs w:val="21"/>
              </w:rPr>
              <w:t>单瘫（肌力小于等于</w:t>
            </w:r>
            <w:r>
              <w:rPr>
                <w:sz w:val="21"/>
                <w:szCs w:val="21"/>
              </w:rPr>
              <w:t>3级)</w:t>
            </w:r>
          </w:p>
        </w:tc>
        <w:tc>
          <w:tcPr>
            <w:tcW w:w="1071" w:type="dxa"/>
            <w:shd w:val="clear" w:color="auto" w:fill="auto"/>
          </w:tcPr>
          <w:p>
            <w:pPr>
              <w:pStyle w:val="42"/>
              <w:spacing w:line="360" w:lineRule="auto"/>
              <w:jc w:val="center"/>
              <w:rPr>
                <w:sz w:val="21"/>
                <w:szCs w:val="21"/>
              </w:rPr>
            </w:pPr>
            <w:r>
              <w:rPr>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偏瘫（一肢肌力小于等于</w:t>
            </w:r>
            <w:r>
              <w:rPr>
                <w:sz w:val="21"/>
                <w:szCs w:val="21"/>
              </w:rPr>
              <w:t>4级)</w:t>
            </w:r>
          </w:p>
        </w:tc>
        <w:tc>
          <w:tcPr>
            <w:tcW w:w="1071" w:type="dxa"/>
            <w:shd w:val="clear" w:color="auto" w:fill="auto"/>
            <w:vAlign w:val="center"/>
          </w:tcPr>
          <w:p>
            <w:pPr>
              <w:pStyle w:val="42"/>
              <w:spacing w:line="360" w:lineRule="auto"/>
              <w:jc w:val="center"/>
              <w:rPr>
                <w:sz w:val="21"/>
                <w:szCs w:val="21"/>
              </w:rPr>
            </w:pPr>
            <w:r>
              <w:rPr>
                <w:rFonts w:hint="eastAsia"/>
                <w:sz w:val="21"/>
                <w:szCs w:val="21"/>
              </w:rPr>
              <w:t>7</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30" w:type="dxa"/>
            <w:shd w:val="clear" w:color="auto" w:fill="auto"/>
          </w:tcPr>
          <w:p>
            <w:pPr>
              <w:pStyle w:val="42"/>
              <w:spacing w:line="360" w:lineRule="auto"/>
              <w:rPr>
                <w:sz w:val="21"/>
                <w:szCs w:val="21"/>
              </w:rPr>
            </w:pPr>
            <w:r>
              <w:rPr>
                <w:rFonts w:hint="eastAsia"/>
                <w:sz w:val="21"/>
                <w:szCs w:val="21"/>
              </w:rPr>
              <w:t>截瘫（一肢肌力小于等于</w:t>
            </w:r>
            <w:r>
              <w:rPr>
                <w:sz w:val="21"/>
                <w:szCs w:val="21"/>
              </w:rPr>
              <w:t>4级)</w:t>
            </w:r>
          </w:p>
        </w:tc>
        <w:tc>
          <w:tcPr>
            <w:tcW w:w="1071" w:type="dxa"/>
            <w:shd w:val="clear" w:color="auto" w:fill="auto"/>
            <w:vAlign w:val="center"/>
          </w:tcPr>
          <w:p>
            <w:pPr>
              <w:pStyle w:val="42"/>
              <w:spacing w:line="360" w:lineRule="auto"/>
              <w:jc w:val="center"/>
              <w:rPr>
                <w:sz w:val="21"/>
                <w:szCs w:val="21"/>
              </w:rPr>
            </w:pPr>
            <w:r>
              <w:rPr>
                <w:rFonts w:hint="eastAsia"/>
                <w:sz w:val="21"/>
                <w:szCs w:val="21"/>
              </w:rPr>
              <w:t>7</w:t>
            </w:r>
            <w:r>
              <w:rPr>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7230" w:type="dxa"/>
            <w:shd w:val="clear" w:color="auto" w:fill="auto"/>
          </w:tcPr>
          <w:p>
            <w:pPr>
              <w:pStyle w:val="42"/>
              <w:spacing w:line="360" w:lineRule="auto"/>
              <w:rPr>
                <w:sz w:val="21"/>
                <w:szCs w:val="21"/>
              </w:rPr>
            </w:pPr>
            <w:r>
              <w:rPr>
                <w:rFonts w:hint="eastAsia"/>
                <w:sz w:val="21"/>
                <w:szCs w:val="21"/>
              </w:rPr>
              <w:t>单瘫（肌力小于等于</w:t>
            </w:r>
            <w:r>
              <w:rPr>
                <w:sz w:val="21"/>
                <w:szCs w:val="21"/>
              </w:rPr>
              <w:t>4级)</w:t>
            </w:r>
          </w:p>
        </w:tc>
        <w:tc>
          <w:tcPr>
            <w:tcW w:w="1071" w:type="dxa"/>
            <w:shd w:val="clear" w:color="auto" w:fill="auto"/>
          </w:tcPr>
          <w:p>
            <w:pPr>
              <w:pStyle w:val="42"/>
              <w:spacing w:line="360" w:lineRule="auto"/>
              <w:jc w:val="center"/>
              <w:rPr>
                <w:sz w:val="21"/>
                <w:szCs w:val="21"/>
              </w:rPr>
            </w:pPr>
            <w:r>
              <w:rPr>
                <w:sz w:val="21"/>
                <w:szCs w:val="21"/>
              </w:rPr>
              <w:t>8级</w:t>
            </w:r>
          </w:p>
        </w:tc>
      </w:tr>
    </w:tbl>
    <w:p>
      <w:pPr>
        <w:pStyle w:val="40"/>
        <w:spacing w:line="360" w:lineRule="auto"/>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偏瘫指一侧上下肢的瘫痪。</w:t>
      </w:r>
    </w:p>
    <w:p>
      <w:pPr>
        <w:pStyle w:val="40"/>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截瘫指脊髓损伤后，受伤平面以下双侧肢体感觉、运动、反射等消失和膀胱、肛门括约肌功能丧失的病症。</w:t>
      </w:r>
    </w:p>
    <w:p>
      <w:pPr>
        <w:pStyle w:val="40"/>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单瘫指一个肢体或肢体的某一部分瘫痪。</w:t>
      </w:r>
    </w:p>
    <w:p>
      <w:pPr>
        <w:pStyle w:val="40"/>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4 \* GB3 </w:instrText>
      </w:r>
      <w:r>
        <w:rPr>
          <w:rFonts w:ascii="宋体" w:hAnsi="宋体" w:eastAsia="宋体"/>
          <w:sz w:val="21"/>
          <w:szCs w:val="21"/>
        </w:rPr>
        <w:fldChar w:fldCharType="separate"/>
      </w:r>
      <w:r>
        <w:rPr>
          <w:rFonts w:hint="eastAsia" w:ascii="宋体" w:hAnsi="宋体" w:eastAsia="宋体"/>
          <w:sz w:val="21"/>
          <w:szCs w:val="21"/>
        </w:rPr>
        <w:t>④</w:t>
      </w:r>
      <w:r>
        <w:rPr>
          <w:rFonts w:ascii="宋体" w:hAnsi="宋体" w:eastAsia="宋体"/>
          <w:sz w:val="21"/>
          <w:szCs w:val="21"/>
        </w:rPr>
        <w:fldChar w:fldCharType="end"/>
      </w:r>
      <w:r>
        <w:rPr>
          <w:rFonts w:ascii="宋体" w:hAnsi="宋体" w:eastAsia="宋体"/>
          <w:sz w:val="21"/>
          <w:szCs w:val="21"/>
        </w:rPr>
        <w:t xml:space="preserve"> 肌力：为判断肢体瘫痪程度，将肌力分级划分为0-5级。</w:t>
      </w:r>
    </w:p>
    <w:p>
      <w:pPr>
        <w:pStyle w:val="40"/>
        <w:spacing w:line="360" w:lineRule="auto"/>
        <w:ind w:firstLine="420" w:firstLineChars="200"/>
        <w:rPr>
          <w:rFonts w:ascii="宋体" w:hAnsi="宋体" w:eastAsia="宋体"/>
          <w:sz w:val="21"/>
          <w:szCs w:val="21"/>
        </w:rPr>
      </w:pPr>
      <w:r>
        <w:rPr>
          <w:rFonts w:ascii="宋体" w:hAnsi="宋体" w:eastAsia="宋体"/>
          <w:sz w:val="21"/>
          <w:szCs w:val="21"/>
        </w:rPr>
        <w:t>0级：肌肉完全瘫痪，毫无收缩。</w:t>
      </w:r>
    </w:p>
    <w:p>
      <w:pPr>
        <w:pStyle w:val="40"/>
        <w:spacing w:line="360" w:lineRule="auto"/>
        <w:ind w:firstLine="420" w:firstLineChars="200"/>
        <w:rPr>
          <w:rFonts w:ascii="宋体" w:hAnsi="宋体" w:eastAsia="宋体"/>
          <w:sz w:val="21"/>
          <w:szCs w:val="21"/>
        </w:rPr>
      </w:pPr>
      <w:r>
        <w:rPr>
          <w:rFonts w:ascii="宋体" w:hAnsi="宋体" w:eastAsia="宋体"/>
          <w:sz w:val="21"/>
          <w:szCs w:val="21"/>
        </w:rPr>
        <w:t>1级：可看到或触及肌肉轻微收缩，但不能产生动作。</w:t>
      </w:r>
    </w:p>
    <w:p>
      <w:pPr>
        <w:pStyle w:val="40"/>
        <w:spacing w:line="360" w:lineRule="auto"/>
        <w:ind w:firstLine="420" w:firstLineChars="200"/>
        <w:rPr>
          <w:rFonts w:ascii="宋体" w:hAnsi="宋体" w:eastAsia="宋体"/>
          <w:sz w:val="21"/>
          <w:szCs w:val="21"/>
        </w:rPr>
      </w:pPr>
      <w:r>
        <w:rPr>
          <w:rFonts w:ascii="宋体" w:hAnsi="宋体" w:eastAsia="宋体"/>
          <w:sz w:val="21"/>
          <w:szCs w:val="21"/>
        </w:rPr>
        <w:t>2级：肌肉在不受重力影响下，可进行运动，即肢体能在床面上移动，但不能抬高。</w:t>
      </w:r>
    </w:p>
    <w:p>
      <w:pPr>
        <w:pStyle w:val="40"/>
        <w:spacing w:line="360" w:lineRule="auto"/>
        <w:ind w:left="1737" w:hanging="1736" w:hangingChars="827"/>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3级：在和地心引力相反的方向中尚能完成其动作，但不能对抗外加的阻力。</w:t>
      </w:r>
    </w:p>
    <w:p>
      <w:pPr>
        <w:pStyle w:val="40"/>
        <w:spacing w:line="360" w:lineRule="auto"/>
        <w:rPr>
          <w:rFonts w:ascii="宋体" w:hAnsi="宋体" w:eastAsia="宋体"/>
          <w:sz w:val="21"/>
          <w:szCs w:val="21"/>
        </w:rPr>
      </w:pPr>
      <w:r>
        <w:rPr>
          <w:rFonts w:hint="eastAsia" w:ascii="宋体" w:hAnsi="宋体" w:eastAsia="宋体"/>
          <w:sz w:val="21"/>
          <w:szCs w:val="21"/>
        </w:rPr>
        <w:t>　　</w:t>
      </w:r>
      <w:r>
        <w:rPr>
          <w:rFonts w:ascii="宋体" w:hAnsi="宋体" w:eastAsia="宋体"/>
          <w:sz w:val="21"/>
          <w:szCs w:val="21"/>
        </w:rPr>
        <w:t>4级：能对抗一定的阻力，但较正常人为低。</w:t>
      </w:r>
    </w:p>
    <w:p>
      <w:pPr>
        <w:pStyle w:val="40"/>
        <w:spacing w:line="360" w:lineRule="auto"/>
        <w:rPr>
          <w:rFonts w:hint="eastAsia" w:ascii="宋体" w:hAnsi="宋体" w:eastAsia="宋体"/>
          <w:sz w:val="21"/>
          <w:szCs w:val="21"/>
        </w:rPr>
      </w:pPr>
      <w:r>
        <w:rPr>
          <w:rFonts w:hint="eastAsia" w:ascii="宋体" w:hAnsi="宋体" w:eastAsia="宋体"/>
          <w:sz w:val="21"/>
          <w:szCs w:val="21"/>
        </w:rPr>
        <w:t>　　</w:t>
      </w:r>
      <w:r>
        <w:rPr>
          <w:rFonts w:ascii="宋体" w:hAnsi="宋体" w:eastAsia="宋体"/>
          <w:sz w:val="21"/>
          <w:szCs w:val="21"/>
        </w:rPr>
        <w:t>5级：正常肌力</w:t>
      </w:r>
      <w:r>
        <w:rPr>
          <w:rFonts w:hint="eastAsia" w:ascii="宋体" w:hAnsi="宋体" w:eastAsia="宋体"/>
          <w:sz w:val="21"/>
          <w:szCs w:val="21"/>
        </w:rPr>
        <w:t>。</w:t>
      </w:r>
    </w:p>
    <w:p>
      <w:pPr>
        <w:pStyle w:val="3"/>
        <w:keepNext w:val="0"/>
        <w:keepLines w:val="0"/>
        <w:widowControl/>
        <w:numPr>
          <w:ilvl w:val="0"/>
          <w:numId w:val="1"/>
        </w:numPr>
        <w:spacing w:before="0" w:after="0" w:line="360" w:lineRule="auto"/>
        <w:contextualSpacing/>
        <w:jc w:val="left"/>
        <w:rPr>
          <w:rFonts w:ascii="宋体" w:hAnsi="宋体" w:eastAsia="宋体"/>
          <w:sz w:val="21"/>
          <w:szCs w:val="21"/>
        </w:rPr>
      </w:pPr>
      <w:bookmarkStart w:id="64" w:name="_Toc356463501"/>
      <w:r>
        <w:rPr>
          <w:rFonts w:hint="eastAsia" w:ascii="宋体" w:hAnsi="宋体" w:eastAsia="宋体"/>
          <w:sz w:val="21"/>
          <w:szCs w:val="21"/>
        </w:rPr>
        <w:t>皮肤和有关的结构和功能</w:t>
      </w:r>
      <w:bookmarkEnd w:id="64"/>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65" w:name="_Toc356463502"/>
      <w:r>
        <w:rPr>
          <w:rFonts w:hint="eastAsia" w:ascii="宋体" w:hAnsi="宋体"/>
          <w:sz w:val="21"/>
          <w:szCs w:val="21"/>
        </w:rPr>
        <w:t>头颈部皮肤结构损伤和修复功能障碍</w:t>
      </w:r>
      <w:bookmarkEnd w:id="65"/>
    </w:p>
    <w:p>
      <w:pPr>
        <w:spacing w:line="360" w:lineRule="auto"/>
        <w:ind w:firstLine="420" w:firstLineChars="200"/>
        <w:rPr>
          <w:rFonts w:ascii="宋体" w:hAnsi="宋体"/>
          <w:szCs w:val="21"/>
        </w:rPr>
      </w:pPr>
      <w:r>
        <w:rPr>
          <w:rFonts w:hint="eastAsia" w:ascii="宋体" w:hAnsi="宋体"/>
          <w:szCs w:val="21"/>
        </w:rPr>
        <w:t>皮肤的修复功能是指修复皮肤破损和其他损伤的功能。本标准中的皮肤修复功能障碍是指瘢痕形成。</w:t>
      </w:r>
    </w:p>
    <w:tbl>
      <w:tblPr>
        <w:tblStyle w:val="17"/>
        <w:tblW w:w="828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头颈部</w:t>
            </w:r>
            <w:r>
              <w:rPr>
                <w:sz w:val="21"/>
                <w:szCs w:val="21"/>
              </w:rPr>
              <w:t>III度烧伤，面积大于等于全身体表面积的8%</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line="360" w:lineRule="auto"/>
              <w:jc w:val="center"/>
              <w:rPr>
                <w:color w:val="000000"/>
                <w:sz w:val="21"/>
                <w:szCs w:val="21"/>
              </w:rPr>
            </w:pPr>
            <w:r>
              <w:rPr>
                <w:rFonts w:hint="eastAsia"/>
                <w:color w:val="000000"/>
                <w:sz w:val="21"/>
                <w:szCs w:val="21"/>
              </w:rPr>
              <w:t>2</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面部皮肤损伤导致瘢痕形成，且瘢痕面积大于等于面部皮肤面积的</w:t>
            </w:r>
            <w:r>
              <w:rPr>
                <w:sz w:val="21"/>
                <w:szCs w:val="21"/>
              </w:rPr>
              <w:t>90%</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 w:hRule="atLeast"/>
        </w:trPr>
        <w:tc>
          <w:tcPr>
            <w:tcW w:w="7245" w:type="dxa"/>
            <w:shd w:val="clear" w:color="auto" w:fill="auto"/>
          </w:tcPr>
          <w:p>
            <w:pPr>
              <w:pStyle w:val="42"/>
              <w:spacing w:line="360" w:lineRule="auto"/>
              <w:rPr>
                <w:sz w:val="21"/>
                <w:szCs w:val="21"/>
              </w:rPr>
            </w:pPr>
            <w:r>
              <w:rPr>
                <w:rFonts w:hint="eastAsia"/>
                <w:sz w:val="21"/>
                <w:szCs w:val="21"/>
              </w:rPr>
              <w:t>颈部皮肤损伤导致瘢痕形成，颈部活动度完全丧失</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面部皮肤损伤导致瘢痕形成，且瘢痕面积大于等于面部皮肤面积的</w:t>
            </w:r>
            <w:r>
              <w:rPr>
                <w:sz w:val="21"/>
                <w:szCs w:val="21"/>
              </w:rPr>
              <w:t>80%</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7245" w:type="dxa"/>
            <w:shd w:val="clear" w:color="auto" w:fill="auto"/>
          </w:tcPr>
          <w:p>
            <w:pPr>
              <w:pStyle w:val="42"/>
              <w:spacing w:line="360" w:lineRule="auto"/>
              <w:rPr>
                <w:sz w:val="21"/>
                <w:szCs w:val="21"/>
              </w:rPr>
            </w:pPr>
            <w:r>
              <w:rPr>
                <w:rFonts w:hint="eastAsia"/>
                <w:sz w:val="21"/>
                <w:szCs w:val="21"/>
              </w:rPr>
              <w:t>颈部皮肤损伤导致瘢痕形成，颈部活动度丧失大于等于</w:t>
            </w:r>
            <w:r>
              <w:rPr>
                <w:sz w:val="21"/>
                <w:szCs w:val="21"/>
              </w:rPr>
              <w:t>75%</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面部皮肤损伤导致瘢痕形成，且瘢痕面积大于等于面部皮肤面积的</w:t>
            </w:r>
            <w:r>
              <w:rPr>
                <w:sz w:val="21"/>
                <w:szCs w:val="21"/>
              </w:rPr>
              <w:t>60%</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42"/>
              <w:spacing w:line="360" w:lineRule="auto"/>
              <w:rPr>
                <w:sz w:val="21"/>
                <w:szCs w:val="21"/>
              </w:rPr>
            </w:pPr>
            <w:r>
              <w:rPr>
                <w:rFonts w:hint="eastAsia"/>
                <w:sz w:val="21"/>
                <w:szCs w:val="21"/>
              </w:rPr>
              <w:t>头颈部</w:t>
            </w:r>
            <w:r>
              <w:rPr>
                <w:sz w:val="21"/>
                <w:szCs w:val="21"/>
              </w:rPr>
              <w:t>III度烧伤，面积大于等于全身体表面积的5%，且小于8%</w:t>
            </w:r>
          </w:p>
        </w:tc>
        <w:tc>
          <w:tcPr>
            <w:tcW w:w="1043" w:type="dxa"/>
            <w:tcBorders>
              <w:bottom w:val="single" w:color="auto" w:sz="4" w:space="0"/>
            </w:tcBorders>
            <w:shd w:val="clear" w:color="auto" w:fill="auto"/>
            <w:vAlign w:val="center"/>
          </w:tcPr>
          <w:p>
            <w:pPr>
              <w:pStyle w:val="42"/>
              <w:spacing w:line="360" w:lineRule="auto"/>
              <w:jc w:val="center"/>
              <w:rPr>
                <w:color w:val="000000"/>
                <w:sz w:val="21"/>
                <w:szCs w:val="21"/>
              </w:rPr>
            </w:pPr>
            <w:r>
              <w:rPr>
                <w:rFonts w:hint="eastAsia"/>
                <w:color w:val="000000"/>
                <w:sz w:val="21"/>
                <w:szCs w:val="21"/>
              </w:rPr>
              <w:t>5</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shd w:val="clear" w:color="auto" w:fill="auto"/>
          </w:tcPr>
          <w:p>
            <w:pPr>
              <w:pStyle w:val="42"/>
              <w:spacing w:line="360" w:lineRule="auto"/>
              <w:rPr>
                <w:sz w:val="21"/>
                <w:szCs w:val="21"/>
              </w:rPr>
            </w:pPr>
            <w:r>
              <w:rPr>
                <w:rFonts w:hint="eastAsia"/>
                <w:sz w:val="21"/>
                <w:szCs w:val="21"/>
              </w:rPr>
              <w:t>颈部皮肤损伤导致瘢痕形成，颈部活动度丧失大于等于</w:t>
            </w:r>
            <w:r>
              <w:rPr>
                <w:sz w:val="21"/>
                <w:szCs w:val="21"/>
              </w:rPr>
              <w:t>50%</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面部皮肤损伤导致瘢痕形成，且瘢痕面积大于等于面部皮肤面积的</w:t>
            </w:r>
            <w:r>
              <w:rPr>
                <w:sz w:val="21"/>
                <w:szCs w:val="21"/>
              </w:rPr>
              <w:t>40%</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5级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面部皮肤损伤导致瘢痕形成，且瘢痕面积大于等于面部皮肤面积的</w:t>
            </w:r>
            <w:r>
              <w:rPr>
                <w:sz w:val="21"/>
                <w:szCs w:val="21"/>
              </w:rPr>
              <w:t>20%</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42"/>
              <w:spacing w:line="360" w:lineRule="auto"/>
              <w:rPr>
                <w:sz w:val="21"/>
                <w:szCs w:val="21"/>
              </w:rPr>
            </w:pPr>
            <w:r>
              <w:rPr>
                <w:rFonts w:hint="eastAsia"/>
                <w:sz w:val="21"/>
                <w:szCs w:val="21"/>
              </w:rPr>
              <w:t>头部撕脱伤后导致头皮缺失，面积大于等于头皮面积的</w:t>
            </w:r>
            <w:r>
              <w:rPr>
                <w:sz w:val="21"/>
                <w:szCs w:val="21"/>
              </w:rPr>
              <w:t>20%</w:t>
            </w:r>
          </w:p>
        </w:tc>
        <w:tc>
          <w:tcPr>
            <w:tcW w:w="1043" w:type="dxa"/>
            <w:tcBorders>
              <w:bottom w:val="single" w:color="auto" w:sz="4" w:space="0"/>
            </w:tcBorders>
            <w:shd w:val="clear" w:color="auto" w:fill="auto"/>
            <w:vAlign w:val="center"/>
          </w:tcPr>
          <w:p>
            <w:pPr>
              <w:pStyle w:val="42"/>
              <w:spacing w:line="360" w:lineRule="auto"/>
              <w:jc w:val="center"/>
              <w:rPr>
                <w:color w:val="000000"/>
                <w:sz w:val="21"/>
                <w:szCs w:val="21"/>
              </w:rPr>
            </w:pPr>
            <w:r>
              <w:rPr>
                <w:color w:val="000000"/>
                <w:sz w:val="21"/>
                <w:szCs w:val="21"/>
              </w:rPr>
              <w:t>6级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7245" w:type="dxa"/>
            <w:shd w:val="clear" w:color="auto" w:fill="auto"/>
          </w:tcPr>
          <w:p>
            <w:pPr>
              <w:pStyle w:val="42"/>
              <w:spacing w:line="360" w:lineRule="auto"/>
              <w:rPr>
                <w:sz w:val="21"/>
                <w:szCs w:val="21"/>
              </w:rPr>
            </w:pPr>
            <w:r>
              <w:rPr>
                <w:rFonts w:hint="eastAsia"/>
                <w:sz w:val="21"/>
                <w:szCs w:val="21"/>
              </w:rPr>
              <w:t>颈部皮肤损伤导致颈前三角区瘢痕形成，且瘢痕面积大于等于颈前三角区面积的</w:t>
            </w:r>
            <w:r>
              <w:rPr>
                <w:sz w:val="21"/>
                <w:szCs w:val="21"/>
              </w:rPr>
              <w:t>75%</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w:t>
            </w:r>
            <w:r>
              <w:rPr>
                <w:sz w:val="21"/>
                <w:szCs w:val="21"/>
              </w:rPr>
              <w:t>24cm</w:t>
            </w:r>
            <w:r>
              <w:rPr>
                <w:sz w:val="21"/>
                <w:szCs w:val="21"/>
                <w:vertAlign w:val="superscript"/>
              </w:rPr>
              <w:t>2</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7级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5" w:type="dxa"/>
            <w:tcBorders>
              <w:top w:val="single" w:color="auto" w:sz="4" w:space="0"/>
              <w:left w:val="single" w:color="auto" w:sz="4" w:space="0"/>
              <w:bottom w:val="single" w:color="auto" w:sz="4" w:space="0"/>
            </w:tcBorders>
            <w:shd w:val="clear" w:color="auto" w:fill="auto"/>
          </w:tcPr>
          <w:p>
            <w:pPr>
              <w:pStyle w:val="42"/>
              <w:spacing w:line="360" w:lineRule="auto"/>
              <w:rPr>
                <w:sz w:val="21"/>
                <w:szCs w:val="21"/>
              </w:rPr>
            </w:pPr>
            <w:r>
              <w:rPr>
                <w:rFonts w:hint="eastAsia"/>
                <w:sz w:val="21"/>
                <w:szCs w:val="21"/>
              </w:rPr>
              <w:t>头颈部</w:t>
            </w:r>
            <w:r>
              <w:rPr>
                <w:sz w:val="21"/>
                <w:szCs w:val="21"/>
              </w:rPr>
              <w:t>III度烧伤，面积大于等于全身体表面积的2%，且小于5%</w:t>
            </w:r>
          </w:p>
        </w:tc>
        <w:tc>
          <w:tcPr>
            <w:tcW w:w="1043" w:type="dxa"/>
            <w:tcBorders>
              <w:bottom w:val="single" w:color="auto" w:sz="4" w:space="0"/>
            </w:tcBorders>
            <w:shd w:val="clear" w:color="auto" w:fill="auto"/>
            <w:vAlign w:val="center"/>
          </w:tcPr>
          <w:p>
            <w:pPr>
              <w:pStyle w:val="42"/>
              <w:spacing w:line="360" w:lineRule="auto"/>
              <w:jc w:val="center"/>
              <w:rPr>
                <w:color w:val="000000"/>
                <w:sz w:val="21"/>
                <w:szCs w:val="21"/>
              </w:rPr>
            </w:pPr>
            <w:r>
              <w:rPr>
                <w:rFonts w:hint="eastAsia"/>
                <w:color w:val="000000"/>
                <w:sz w:val="21"/>
                <w:szCs w:val="21"/>
              </w:rPr>
              <w:t>8</w:t>
            </w:r>
            <w:r>
              <w:rPr>
                <w:color w:val="000000"/>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42"/>
              <w:spacing w:line="360" w:lineRule="auto"/>
              <w:rPr>
                <w:sz w:val="21"/>
                <w:szCs w:val="21"/>
              </w:rPr>
            </w:pPr>
            <w:r>
              <w:rPr>
                <w:rFonts w:hint="eastAsia"/>
                <w:sz w:val="21"/>
                <w:szCs w:val="21"/>
              </w:rPr>
              <w:t>颈部皮肤损伤导致颈前三角区瘢痕形成，且瘢痕面积大于等于颈前三角区面积的</w:t>
            </w:r>
            <w:r>
              <w:rPr>
                <w:sz w:val="21"/>
                <w:szCs w:val="21"/>
              </w:rPr>
              <w:t>50%</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w:t>
            </w:r>
            <w:r>
              <w:rPr>
                <w:sz w:val="21"/>
                <w:szCs w:val="21"/>
              </w:rPr>
              <w:t>18cm</w:t>
            </w:r>
            <w:r>
              <w:rPr>
                <w:sz w:val="21"/>
                <w:szCs w:val="21"/>
                <w:vertAlign w:val="superscript"/>
              </w:rPr>
              <w:t>2</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8级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w:t>
            </w:r>
            <w:r>
              <w:rPr>
                <w:sz w:val="21"/>
                <w:szCs w:val="21"/>
              </w:rPr>
              <w:t>12cm</w:t>
            </w:r>
            <w:r>
              <w:rPr>
                <w:sz w:val="21"/>
                <w:szCs w:val="21"/>
                <w:vertAlign w:val="superscript"/>
              </w:rPr>
              <w:t>2</w:t>
            </w:r>
            <w:r>
              <w:rPr>
                <w:rFonts w:hint="eastAsia"/>
                <w:sz w:val="21"/>
                <w:szCs w:val="21"/>
              </w:rPr>
              <w:t>或面部线条状瘢痕大于等于</w:t>
            </w:r>
            <w:r>
              <w:rPr>
                <w:sz w:val="21"/>
                <w:szCs w:val="21"/>
              </w:rPr>
              <w:t>20cm</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9级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245" w:type="dxa"/>
            <w:shd w:val="clear" w:color="auto" w:fill="auto"/>
          </w:tcPr>
          <w:p>
            <w:pPr>
              <w:pStyle w:val="42"/>
              <w:spacing w:line="360" w:lineRule="auto"/>
              <w:rPr>
                <w:sz w:val="21"/>
                <w:szCs w:val="21"/>
              </w:rPr>
            </w:pPr>
            <w:r>
              <w:rPr>
                <w:rFonts w:hint="eastAsia"/>
                <w:sz w:val="21"/>
                <w:szCs w:val="21"/>
              </w:rPr>
              <w:t>面部皮肤损伤导致瘢痕形成，且瘢痕面积大于等于</w:t>
            </w:r>
            <w:r>
              <w:rPr>
                <w:sz w:val="21"/>
                <w:szCs w:val="21"/>
              </w:rPr>
              <w:t>6cm</w:t>
            </w:r>
            <w:r>
              <w:rPr>
                <w:sz w:val="21"/>
                <w:szCs w:val="21"/>
                <w:vertAlign w:val="superscript"/>
              </w:rPr>
              <w:t>2</w:t>
            </w:r>
            <w:r>
              <w:rPr>
                <w:rFonts w:hint="eastAsia"/>
                <w:sz w:val="21"/>
                <w:szCs w:val="21"/>
              </w:rPr>
              <w:t>或面部线条状瘢痕大于等于</w:t>
            </w:r>
            <w:r>
              <w:rPr>
                <w:sz w:val="21"/>
                <w:szCs w:val="21"/>
              </w:rPr>
              <w:t>10cm</w:t>
            </w:r>
          </w:p>
        </w:tc>
        <w:tc>
          <w:tcPr>
            <w:tcW w:w="1043" w:type="dxa"/>
            <w:shd w:val="clear" w:color="auto" w:fill="auto"/>
            <w:vAlign w:val="center"/>
          </w:tcPr>
          <w:p>
            <w:pPr>
              <w:pStyle w:val="42"/>
              <w:spacing w:line="360" w:lineRule="auto"/>
              <w:jc w:val="center"/>
              <w:rPr>
                <w:color w:val="000000"/>
                <w:sz w:val="21"/>
                <w:szCs w:val="21"/>
              </w:rPr>
            </w:pPr>
            <w:r>
              <w:rPr>
                <w:color w:val="000000"/>
                <w:sz w:val="21"/>
                <w:szCs w:val="21"/>
              </w:rPr>
              <w:t>10级</w:t>
            </w:r>
          </w:p>
        </w:tc>
      </w:tr>
    </w:tbl>
    <w:p>
      <w:pPr>
        <w:pStyle w:val="40"/>
        <w:spacing w:line="360" w:lineRule="auto"/>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瘢痕：指创面愈合后的增生性瘢痕，不包括皮肤平整、无明显质地改变的萎缩性瘢痕或疤痕。</w:t>
      </w:r>
    </w:p>
    <w:p>
      <w:pPr>
        <w:pStyle w:val="40"/>
        <w:spacing w:line="360" w:lineRule="auto"/>
        <w:ind w:firstLine="417" w:firstLineChars="19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面部的范围和瘢痕面积的计算：面部的范围指上至发际、下至下颌下缘、两侧至下颌支后缘之间的区域，包括额部、眼部、眶部、鼻部、口唇部、颏部、颧部、颊部和腮腺咬肌部。面部瘢痕面积的计算采用全面部和</w:t>
      </w:r>
      <w:r>
        <w:rPr>
          <w:rFonts w:ascii="宋体" w:hAnsi="宋体" w:eastAsia="宋体"/>
          <w:sz w:val="21"/>
          <w:szCs w:val="21"/>
        </w:rPr>
        <w:t>5等分面部以及实测瘢痕面积的方法，分别计算瘢痕面积。面部多处瘢痕，其面积可以累加计算。</w:t>
      </w:r>
    </w:p>
    <w:p>
      <w:pPr>
        <w:pStyle w:val="40"/>
        <w:spacing w:line="360" w:lineRule="auto"/>
        <w:ind w:firstLine="420" w:firstLineChars="200"/>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3 \* GB3 </w:instrText>
      </w:r>
      <w:r>
        <w:rPr>
          <w:rFonts w:ascii="宋体" w:hAnsi="宋体" w:eastAsia="宋体"/>
          <w:sz w:val="21"/>
          <w:szCs w:val="21"/>
        </w:rPr>
        <w:fldChar w:fldCharType="separate"/>
      </w:r>
      <w:r>
        <w:rPr>
          <w:rFonts w:hint="eastAsia" w:ascii="宋体" w:hAnsi="宋体" w:eastAsia="宋体"/>
          <w:sz w:val="21"/>
          <w:szCs w:val="21"/>
        </w:rPr>
        <w:t>③</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颈前三角区：两边为胸锁乳突肌前缘，底为舌骨体上缘及下颌骨下缘。</w:t>
      </w:r>
    </w:p>
    <w:p>
      <w:pPr>
        <w:spacing w:line="360" w:lineRule="auto"/>
        <w:ind w:firstLine="420" w:firstLineChars="200"/>
        <w:contextualSpacing/>
        <w:rPr>
          <w:rFonts w:ascii="宋体" w:hAnsi="宋体"/>
          <w:szCs w:val="21"/>
        </w:rPr>
      </w:pPr>
    </w:p>
    <w:p>
      <w:pPr>
        <w:pStyle w:val="4"/>
        <w:keepNext w:val="0"/>
        <w:keepLines w:val="0"/>
        <w:widowControl/>
        <w:numPr>
          <w:ilvl w:val="1"/>
          <w:numId w:val="1"/>
        </w:numPr>
        <w:spacing w:before="0" w:after="0" w:line="360" w:lineRule="auto"/>
        <w:ind w:left="0" w:firstLine="0"/>
        <w:contextualSpacing/>
        <w:jc w:val="left"/>
        <w:rPr>
          <w:rFonts w:ascii="宋体" w:hAnsi="宋体"/>
          <w:sz w:val="21"/>
          <w:szCs w:val="21"/>
        </w:rPr>
      </w:pPr>
      <w:bookmarkStart w:id="66" w:name="_Toc356463503"/>
      <w:r>
        <w:rPr>
          <w:rFonts w:hint="eastAsia" w:ascii="宋体" w:hAnsi="宋体"/>
          <w:sz w:val="21"/>
          <w:szCs w:val="21"/>
        </w:rPr>
        <w:t>各部位皮肤结构损伤和修复功能障碍</w:t>
      </w:r>
      <w:bookmarkEnd w:id="66"/>
    </w:p>
    <w:tbl>
      <w:tblPr>
        <w:tblStyle w:val="17"/>
        <w:tblW w:w="8288" w:type="dxa"/>
        <w:tblInd w:w="93" w:type="dxa"/>
        <w:tblLayout w:type="fixed"/>
        <w:tblCellMar>
          <w:top w:w="0" w:type="dxa"/>
          <w:left w:w="108" w:type="dxa"/>
          <w:bottom w:w="0" w:type="dxa"/>
          <w:right w:w="108" w:type="dxa"/>
        </w:tblCellMar>
      </w:tblPr>
      <w:tblGrid>
        <w:gridCol w:w="7245"/>
        <w:gridCol w:w="1043"/>
      </w:tblGrid>
      <w:tr>
        <w:tblPrEx>
          <w:tblLayout w:type="fixed"/>
          <w:tblCellMar>
            <w:top w:w="0" w:type="dxa"/>
            <w:left w:w="108" w:type="dxa"/>
            <w:bottom w:w="0" w:type="dxa"/>
            <w:right w:w="108" w:type="dxa"/>
          </w:tblCellMar>
        </w:tblPrEx>
        <w:trPr>
          <w:trHeight w:val="64" w:hRule="atLeast"/>
        </w:trPr>
        <w:tc>
          <w:tcPr>
            <w:tcW w:w="7245" w:type="dxa"/>
            <w:tcBorders>
              <w:top w:val="single" w:color="auto" w:sz="4" w:space="0"/>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90%</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1级</w:t>
            </w:r>
          </w:p>
        </w:tc>
      </w:tr>
      <w:tr>
        <w:tblPrEx>
          <w:tblLayout w:type="fixed"/>
          <w:tblCellMar>
            <w:top w:w="0" w:type="dxa"/>
            <w:left w:w="108" w:type="dxa"/>
            <w:bottom w:w="0" w:type="dxa"/>
            <w:right w:w="108" w:type="dxa"/>
          </w:tblCellMar>
        </w:tblPrEx>
        <w:trPr>
          <w:trHeight w:val="119"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6</w:t>
            </w:r>
            <w:r>
              <w:rPr>
                <w:sz w:val="21"/>
                <w:szCs w:val="21"/>
              </w:rPr>
              <w:t>0%</w:t>
            </w:r>
          </w:p>
        </w:tc>
        <w:tc>
          <w:tcPr>
            <w:tcW w:w="1043" w:type="dxa"/>
            <w:tcBorders>
              <w:top w:val="single" w:color="auto" w:sz="4" w:space="0"/>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1级</w:t>
            </w:r>
          </w:p>
        </w:tc>
      </w:tr>
      <w:tr>
        <w:tblPrEx>
          <w:tblLayout w:type="fixed"/>
          <w:tblCellMar>
            <w:top w:w="0" w:type="dxa"/>
            <w:left w:w="108" w:type="dxa"/>
            <w:bottom w:w="0" w:type="dxa"/>
            <w:right w:w="108" w:type="dxa"/>
          </w:tblCellMar>
        </w:tblPrEx>
        <w:trPr>
          <w:trHeight w:val="196"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80%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2级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70%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3级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4</w:t>
            </w:r>
            <w:r>
              <w:rPr>
                <w:sz w:val="21"/>
                <w:szCs w:val="21"/>
              </w:rPr>
              <w:t>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rFonts w:hint="eastAsia"/>
                <w:sz w:val="21"/>
                <w:szCs w:val="21"/>
              </w:rPr>
              <w:t>3</w:t>
            </w:r>
            <w:r>
              <w:rPr>
                <w:sz w:val="21"/>
                <w:szCs w:val="21"/>
              </w:rPr>
              <w:t>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60%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4级</w:t>
            </w:r>
          </w:p>
        </w:tc>
      </w:tr>
      <w:tr>
        <w:tblPrEx>
          <w:tblLayout w:type="fixed"/>
          <w:tblCellMar>
            <w:top w:w="0" w:type="dxa"/>
            <w:left w:w="108" w:type="dxa"/>
            <w:bottom w:w="0" w:type="dxa"/>
            <w:right w:w="108" w:type="dxa"/>
          </w:tblCellMar>
        </w:tblPrEx>
        <w:trPr>
          <w:trHeight w:val="255"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50%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5级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2</w:t>
            </w:r>
            <w:r>
              <w:rPr>
                <w:sz w:val="21"/>
                <w:szCs w:val="21"/>
              </w:rPr>
              <w:t>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rFonts w:hint="eastAsia"/>
                <w:sz w:val="21"/>
                <w:szCs w:val="21"/>
              </w:rPr>
              <w:t>5</w:t>
            </w:r>
            <w:r>
              <w:rPr>
                <w:sz w:val="21"/>
                <w:szCs w:val="21"/>
              </w:rPr>
              <w:t>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40%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腹部损伤导致腹壁缺损面积大于等于腹壁面积的</w:t>
            </w:r>
            <w:r>
              <w:rPr>
                <w:sz w:val="21"/>
                <w:szCs w:val="21"/>
              </w:rPr>
              <w:t>25%</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6级</w:t>
            </w:r>
          </w:p>
        </w:tc>
      </w:tr>
      <w:tr>
        <w:tblPrEx>
          <w:tblLayout w:type="fixed"/>
          <w:tblCellMar>
            <w:top w:w="0" w:type="dxa"/>
            <w:left w:w="108" w:type="dxa"/>
            <w:bottom w:w="0" w:type="dxa"/>
            <w:right w:w="108" w:type="dxa"/>
          </w:tblCellMar>
        </w:tblPrEx>
        <w:trPr>
          <w:trHeight w:val="227"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30%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7级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躯干及四肢</w:t>
            </w:r>
            <w:r>
              <w:rPr>
                <w:sz w:val="21"/>
                <w:szCs w:val="21"/>
              </w:rPr>
              <w:t>III度烧伤，面积大于等于全身皮肤面积的</w:t>
            </w:r>
            <w:r>
              <w:rPr>
                <w:rFonts w:hint="eastAsia"/>
                <w:sz w:val="21"/>
                <w:szCs w:val="21"/>
              </w:rPr>
              <w:t>1</w:t>
            </w:r>
            <w:r>
              <w:rPr>
                <w:sz w:val="21"/>
                <w:szCs w:val="21"/>
              </w:rPr>
              <w:t>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rFonts w:hint="eastAsia"/>
                <w:sz w:val="21"/>
                <w:szCs w:val="21"/>
              </w:rPr>
              <w:t>7</w:t>
            </w:r>
            <w:r>
              <w:rPr>
                <w:sz w:val="21"/>
                <w:szCs w:val="21"/>
              </w:rPr>
              <w:t>级</w:t>
            </w:r>
          </w:p>
        </w:tc>
      </w:tr>
      <w:tr>
        <w:tblPrEx>
          <w:tblLayout w:type="fixed"/>
          <w:tblCellMar>
            <w:top w:w="0" w:type="dxa"/>
            <w:left w:w="108" w:type="dxa"/>
            <w:bottom w:w="0" w:type="dxa"/>
            <w:right w:w="108" w:type="dxa"/>
          </w:tblCellMar>
        </w:tblPrEx>
        <w:trPr>
          <w:trHeight w:val="177"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20%</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8级</w:t>
            </w:r>
          </w:p>
        </w:tc>
      </w:tr>
      <w:tr>
        <w:tblPrEx>
          <w:tblLayout w:type="fixed"/>
          <w:tblCellMar>
            <w:top w:w="0" w:type="dxa"/>
            <w:left w:w="108" w:type="dxa"/>
            <w:bottom w:w="0" w:type="dxa"/>
            <w:right w:w="108" w:type="dxa"/>
          </w:tblCellMar>
        </w:tblPrEx>
        <w:trPr>
          <w:trHeight w:val="64" w:hRule="atLeast"/>
        </w:trPr>
        <w:tc>
          <w:tcPr>
            <w:tcW w:w="7245" w:type="dxa"/>
            <w:tcBorders>
              <w:top w:val="nil"/>
              <w:left w:val="single" w:color="auto" w:sz="4" w:space="0"/>
              <w:bottom w:val="single" w:color="auto" w:sz="4" w:space="0"/>
              <w:right w:val="single" w:color="auto" w:sz="4" w:space="0"/>
            </w:tcBorders>
            <w:shd w:val="clear" w:color="auto" w:fill="auto"/>
          </w:tcPr>
          <w:p>
            <w:pPr>
              <w:pStyle w:val="42"/>
              <w:spacing w:line="360" w:lineRule="auto"/>
              <w:rPr>
                <w:sz w:val="21"/>
                <w:szCs w:val="21"/>
              </w:rPr>
            </w:pPr>
            <w:r>
              <w:rPr>
                <w:rFonts w:hint="eastAsia"/>
                <w:sz w:val="21"/>
                <w:szCs w:val="21"/>
              </w:rPr>
              <w:t>皮肤损伤导致瘢痕形成，且瘢痕面积大于等于全身体表面积的</w:t>
            </w:r>
            <w:r>
              <w:rPr>
                <w:sz w:val="21"/>
                <w:szCs w:val="21"/>
              </w:rPr>
              <w:t>5%</w:t>
            </w:r>
          </w:p>
        </w:tc>
        <w:tc>
          <w:tcPr>
            <w:tcW w:w="1043" w:type="dxa"/>
            <w:tcBorders>
              <w:top w:val="nil"/>
              <w:left w:val="nil"/>
              <w:bottom w:val="single" w:color="auto" w:sz="4" w:space="0"/>
              <w:right w:val="single" w:color="auto" w:sz="4" w:space="0"/>
            </w:tcBorders>
            <w:shd w:val="clear" w:color="auto" w:fill="auto"/>
            <w:vAlign w:val="center"/>
          </w:tcPr>
          <w:p>
            <w:pPr>
              <w:pStyle w:val="42"/>
              <w:spacing w:line="360" w:lineRule="auto"/>
              <w:jc w:val="center"/>
              <w:rPr>
                <w:sz w:val="21"/>
                <w:szCs w:val="21"/>
              </w:rPr>
            </w:pPr>
            <w:r>
              <w:rPr>
                <w:sz w:val="21"/>
                <w:szCs w:val="21"/>
              </w:rPr>
              <w:t>9级</w:t>
            </w:r>
          </w:p>
        </w:tc>
      </w:tr>
    </w:tbl>
    <w:p>
      <w:pPr>
        <w:pStyle w:val="40"/>
        <w:spacing w:line="360" w:lineRule="auto"/>
        <w:ind w:left="2"/>
        <w:rPr>
          <w:rFonts w:ascii="宋体" w:hAnsi="宋体" w:eastAsia="宋体"/>
          <w:sz w:val="21"/>
          <w:szCs w:val="21"/>
        </w:rPr>
      </w:pPr>
      <w:r>
        <w:rPr>
          <w:rFonts w:hint="eastAsia" w:ascii="宋体" w:hAnsi="宋体" w:eastAsia="宋体"/>
          <w:sz w:val="21"/>
          <w:szCs w:val="21"/>
        </w:rPr>
        <w:t>注：</w:t>
      </w:r>
      <w:r>
        <w:rPr>
          <w:rFonts w:ascii="宋体" w:hAnsi="宋体" w:eastAsia="宋体"/>
          <w:sz w:val="21"/>
          <w:szCs w:val="21"/>
        </w:rPr>
        <w:fldChar w:fldCharType="begin"/>
      </w:r>
      <w:r>
        <w:rPr>
          <w:rFonts w:ascii="宋体" w:hAnsi="宋体" w:eastAsia="宋体"/>
          <w:sz w:val="21"/>
          <w:szCs w:val="21"/>
        </w:rPr>
        <w:instrText xml:space="preserve"> = 1 \* GB3 </w:instrText>
      </w:r>
      <w:r>
        <w:rPr>
          <w:rFonts w:ascii="宋体" w:hAnsi="宋体" w:eastAsia="宋体"/>
          <w:sz w:val="21"/>
          <w:szCs w:val="21"/>
        </w:rPr>
        <w:fldChar w:fldCharType="separate"/>
      </w:r>
      <w:r>
        <w:rPr>
          <w:rFonts w:hint="eastAsia" w:ascii="宋体" w:hAnsi="宋体" w:eastAsia="宋体"/>
          <w:sz w:val="21"/>
          <w:szCs w:val="21"/>
        </w:rPr>
        <w:t>①</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全身皮肤瘢痕面积的计算：按皮肤瘢痕面积占全身体表面积的百分数来计算，即中国新九分法：在</w:t>
      </w:r>
      <w:r>
        <w:rPr>
          <w:rFonts w:ascii="宋体" w:hAnsi="宋体" w:eastAsia="宋体"/>
          <w:sz w:val="21"/>
          <w:szCs w:val="21"/>
        </w:rPr>
        <w:t>100%的体表总面积中：头颈部占9%（9×1）（头部、面部、颈部各占3%）；双上肢占18%（9×2）（双上臂7%，双前臂6%，双手5%）；躯干前后包括会阴占27%（9×3）（前躯13%，后躯13%，会阴1%）；双下肢（含臀部）占46%（双臀5%，双大腿21%，双小腿13%，双足7%）（9×5+1）（女性双足和臀各占6%）。</w:t>
      </w:r>
    </w:p>
    <w:p>
      <w:pPr>
        <w:pStyle w:val="40"/>
        <w:spacing w:line="360" w:lineRule="auto"/>
        <w:ind w:firstLine="417" w:firstLineChars="199"/>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 = 2 \* GB3 </w:instrText>
      </w:r>
      <w:r>
        <w:rPr>
          <w:rFonts w:ascii="宋体" w:hAnsi="宋体" w:eastAsia="宋体"/>
          <w:sz w:val="21"/>
          <w:szCs w:val="21"/>
        </w:rPr>
        <w:fldChar w:fldCharType="separate"/>
      </w:r>
      <w:r>
        <w:rPr>
          <w:rFonts w:hint="eastAsia" w:ascii="宋体" w:hAnsi="宋体" w:eastAsia="宋体"/>
          <w:sz w:val="21"/>
          <w:szCs w:val="21"/>
        </w:rPr>
        <w:t>②</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烧伤面积和烧伤深度：烧伤面积的计算按中国新九分法，烧伤深度按三度四分法。</w:t>
      </w:r>
      <w:r>
        <w:rPr>
          <w:rFonts w:ascii="宋体" w:hAnsi="宋体" w:eastAsia="宋体"/>
          <w:sz w:val="21"/>
          <w:szCs w:val="21"/>
        </w:rPr>
        <w:t>III度烧伤指烧伤深达皮肤</w:t>
      </w:r>
      <w:r>
        <w:rPr>
          <w:rFonts w:hint="eastAsia" w:ascii="宋体" w:hAnsi="宋体" w:eastAsia="宋体"/>
          <w:sz w:val="21"/>
          <w:szCs w:val="21"/>
        </w:rPr>
        <w:t>全层甚至达到皮下、肌肉和骨骼。烧伤事故不包括冻伤、吸入性损伤（又称呼吸道烧伤）和电击伤。烧伤后按烧伤面积、深度评定伤残等级，待医疗终结后，可以依据造成的功能障碍程度、皮肤瘢痕面积大小评定伤残等级，最终的伤残等级以严重者为准。</w:t>
      </w:r>
    </w:p>
    <w:p>
      <w:pPr>
        <w:pStyle w:val="19"/>
        <w:spacing w:line="360" w:lineRule="auto"/>
        <w:ind w:left="0" w:leftChars="0"/>
        <w:rPr>
          <w:rFonts w:asciiTheme="minorEastAsia" w:hAnsiTheme="minorEastAsia" w:eastAsia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Futura Bk">
    <w:altName w:val="Segoe Print"/>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s">
    <w:altName w:val="Segoe Print"/>
    <w:panose1 w:val="00000000000000000000"/>
    <w:charset w:val="00"/>
    <w:family w:val="auto"/>
    <w:pitch w:val="default"/>
    <w:sig w:usb0="00000000" w:usb1="00000000" w:usb2="00000000" w:usb3="00000000" w:csb0="00000000" w:csb1="00000000"/>
  </w:font>
  <w:font w:name="SimSun-ExtB">
    <w:panose1 w:val="02010609060101010101"/>
    <w:charset w:val="86"/>
    <w:family w:val="auto"/>
    <w:pitch w:val="default"/>
    <w:sig w:usb0="00000001" w:usb1="02000000" w:usb2="00000000" w:usb3="00000000" w:csb0="00040001" w:csb1="00000000"/>
  </w:font>
  <w:font w:name="@宋体">
    <w:panose1 w:val="02010600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4E5B"/>
    <w:multiLevelType w:val="multilevel"/>
    <w:tmpl w:val="20B74E5B"/>
    <w:lvl w:ilvl="0" w:tentative="0">
      <w:start w:val="1"/>
      <w:numFmt w:val="decimal"/>
      <w:lvlText w:val="%1"/>
      <w:lvlJc w:val="left"/>
      <w:pPr>
        <w:ind w:left="425" w:hanging="425"/>
      </w:pPr>
    </w:lvl>
    <w:lvl w:ilvl="1" w:tentative="0">
      <w:start w:val="1"/>
      <w:numFmt w:val="decimal"/>
      <w:lvlText w:val="%1.%2"/>
      <w:lvlJc w:val="left"/>
      <w:pPr>
        <w:ind w:left="993"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0C1"/>
    <w:rsid w:val="0000348F"/>
    <w:rsid w:val="0001216D"/>
    <w:rsid w:val="00014EEB"/>
    <w:rsid w:val="00043CC5"/>
    <w:rsid w:val="00073BA8"/>
    <w:rsid w:val="0007741E"/>
    <w:rsid w:val="00091174"/>
    <w:rsid w:val="000952DB"/>
    <w:rsid w:val="000A2204"/>
    <w:rsid w:val="000B4E4D"/>
    <w:rsid w:val="000C3D54"/>
    <w:rsid w:val="000D1A86"/>
    <w:rsid w:val="0011184E"/>
    <w:rsid w:val="00114228"/>
    <w:rsid w:val="00125760"/>
    <w:rsid w:val="00161176"/>
    <w:rsid w:val="00183281"/>
    <w:rsid w:val="00185027"/>
    <w:rsid w:val="00192E4F"/>
    <w:rsid w:val="001B192B"/>
    <w:rsid w:val="001C45A5"/>
    <w:rsid w:val="001D3580"/>
    <w:rsid w:val="001E532A"/>
    <w:rsid w:val="001E7F6B"/>
    <w:rsid w:val="00207539"/>
    <w:rsid w:val="00215381"/>
    <w:rsid w:val="0024057C"/>
    <w:rsid w:val="00240F50"/>
    <w:rsid w:val="002460F1"/>
    <w:rsid w:val="00252B41"/>
    <w:rsid w:val="00254934"/>
    <w:rsid w:val="00263757"/>
    <w:rsid w:val="00266375"/>
    <w:rsid w:val="00273949"/>
    <w:rsid w:val="00281AF5"/>
    <w:rsid w:val="00290923"/>
    <w:rsid w:val="00291AEE"/>
    <w:rsid w:val="00293510"/>
    <w:rsid w:val="0029424B"/>
    <w:rsid w:val="00302EFE"/>
    <w:rsid w:val="00303A27"/>
    <w:rsid w:val="00303CE8"/>
    <w:rsid w:val="0030610A"/>
    <w:rsid w:val="0032221E"/>
    <w:rsid w:val="003236DF"/>
    <w:rsid w:val="0033090B"/>
    <w:rsid w:val="00340911"/>
    <w:rsid w:val="003603EE"/>
    <w:rsid w:val="0037241E"/>
    <w:rsid w:val="003840D0"/>
    <w:rsid w:val="00391700"/>
    <w:rsid w:val="0039592B"/>
    <w:rsid w:val="00397158"/>
    <w:rsid w:val="003A4C5B"/>
    <w:rsid w:val="003F39B3"/>
    <w:rsid w:val="003F78AB"/>
    <w:rsid w:val="00402171"/>
    <w:rsid w:val="00404979"/>
    <w:rsid w:val="00421419"/>
    <w:rsid w:val="0048073C"/>
    <w:rsid w:val="00494F57"/>
    <w:rsid w:val="004A2FB7"/>
    <w:rsid w:val="004A306F"/>
    <w:rsid w:val="004A6E08"/>
    <w:rsid w:val="004A7EB3"/>
    <w:rsid w:val="004B1360"/>
    <w:rsid w:val="004B6021"/>
    <w:rsid w:val="004D54AD"/>
    <w:rsid w:val="004E4473"/>
    <w:rsid w:val="004E6690"/>
    <w:rsid w:val="004F308B"/>
    <w:rsid w:val="004F3170"/>
    <w:rsid w:val="00515930"/>
    <w:rsid w:val="005637DE"/>
    <w:rsid w:val="00566CCC"/>
    <w:rsid w:val="0057381A"/>
    <w:rsid w:val="005750D3"/>
    <w:rsid w:val="00576459"/>
    <w:rsid w:val="00585F91"/>
    <w:rsid w:val="005A3911"/>
    <w:rsid w:val="005B05D8"/>
    <w:rsid w:val="005B4905"/>
    <w:rsid w:val="005B6C00"/>
    <w:rsid w:val="005E7449"/>
    <w:rsid w:val="005F5767"/>
    <w:rsid w:val="005F75DC"/>
    <w:rsid w:val="00610E3B"/>
    <w:rsid w:val="006257B3"/>
    <w:rsid w:val="00626521"/>
    <w:rsid w:val="00655026"/>
    <w:rsid w:val="0067185E"/>
    <w:rsid w:val="00685DA8"/>
    <w:rsid w:val="00691812"/>
    <w:rsid w:val="00694FE7"/>
    <w:rsid w:val="006A59A7"/>
    <w:rsid w:val="006B3C13"/>
    <w:rsid w:val="006B5119"/>
    <w:rsid w:val="006E5504"/>
    <w:rsid w:val="00714D3E"/>
    <w:rsid w:val="007314F9"/>
    <w:rsid w:val="00746D5D"/>
    <w:rsid w:val="00747351"/>
    <w:rsid w:val="007636C5"/>
    <w:rsid w:val="0076388D"/>
    <w:rsid w:val="007A7E0B"/>
    <w:rsid w:val="007C7248"/>
    <w:rsid w:val="00801E24"/>
    <w:rsid w:val="00810B36"/>
    <w:rsid w:val="008150F4"/>
    <w:rsid w:val="008257E8"/>
    <w:rsid w:val="008359A9"/>
    <w:rsid w:val="00856C4F"/>
    <w:rsid w:val="00893CCF"/>
    <w:rsid w:val="008A3646"/>
    <w:rsid w:val="008B3883"/>
    <w:rsid w:val="008B536E"/>
    <w:rsid w:val="008E0AE2"/>
    <w:rsid w:val="008E3338"/>
    <w:rsid w:val="008E3910"/>
    <w:rsid w:val="008E641C"/>
    <w:rsid w:val="008F2273"/>
    <w:rsid w:val="008F3EA8"/>
    <w:rsid w:val="009050E0"/>
    <w:rsid w:val="0090708F"/>
    <w:rsid w:val="00935B46"/>
    <w:rsid w:val="0093654D"/>
    <w:rsid w:val="00945590"/>
    <w:rsid w:val="00952D25"/>
    <w:rsid w:val="0096479E"/>
    <w:rsid w:val="00974224"/>
    <w:rsid w:val="009C796A"/>
    <w:rsid w:val="009D401D"/>
    <w:rsid w:val="009D5C6A"/>
    <w:rsid w:val="009F7BC1"/>
    <w:rsid w:val="00A05947"/>
    <w:rsid w:val="00A17CE9"/>
    <w:rsid w:val="00A303DB"/>
    <w:rsid w:val="00A44618"/>
    <w:rsid w:val="00A4675A"/>
    <w:rsid w:val="00A57118"/>
    <w:rsid w:val="00A62638"/>
    <w:rsid w:val="00A63408"/>
    <w:rsid w:val="00A74CFE"/>
    <w:rsid w:val="00A768E8"/>
    <w:rsid w:val="00A91FC2"/>
    <w:rsid w:val="00AC3FDE"/>
    <w:rsid w:val="00AD4746"/>
    <w:rsid w:val="00B533B4"/>
    <w:rsid w:val="00B56991"/>
    <w:rsid w:val="00B758D4"/>
    <w:rsid w:val="00BA3BD9"/>
    <w:rsid w:val="00BE36A1"/>
    <w:rsid w:val="00BF02D1"/>
    <w:rsid w:val="00BF26B0"/>
    <w:rsid w:val="00C0073C"/>
    <w:rsid w:val="00C223B3"/>
    <w:rsid w:val="00C34239"/>
    <w:rsid w:val="00C44229"/>
    <w:rsid w:val="00C449DD"/>
    <w:rsid w:val="00CB40F8"/>
    <w:rsid w:val="00CC0CFC"/>
    <w:rsid w:val="00CC1E33"/>
    <w:rsid w:val="00CF4561"/>
    <w:rsid w:val="00D34A91"/>
    <w:rsid w:val="00D55F69"/>
    <w:rsid w:val="00D820FE"/>
    <w:rsid w:val="00DE3D68"/>
    <w:rsid w:val="00DE545A"/>
    <w:rsid w:val="00E102CE"/>
    <w:rsid w:val="00E1636D"/>
    <w:rsid w:val="00E30503"/>
    <w:rsid w:val="00E54C91"/>
    <w:rsid w:val="00E62515"/>
    <w:rsid w:val="00E63785"/>
    <w:rsid w:val="00E6461F"/>
    <w:rsid w:val="00E651A4"/>
    <w:rsid w:val="00E75073"/>
    <w:rsid w:val="00E90454"/>
    <w:rsid w:val="00E932FE"/>
    <w:rsid w:val="00EA3F3A"/>
    <w:rsid w:val="00EA5D7A"/>
    <w:rsid w:val="00EC3644"/>
    <w:rsid w:val="00EE60C1"/>
    <w:rsid w:val="00EF1F68"/>
    <w:rsid w:val="00F0237D"/>
    <w:rsid w:val="00F438A8"/>
    <w:rsid w:val="00F67F7E"/>
    <w:rsid w:val="00F70175"/>
    <w:rsid w:val="00F8400A"/>
    <w:rsid w:val="00F923C2"/>
    <w:rsid w:val="0CF759E1"/>
    <w:rsid w:val="13EB742E"/>
    <w:rsid w:val="28CE55C0"/>
    <w:rsid w:val="29582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rFonts w:ascii="Calibri" w:hAnsi="Calibri"/>
      <w:b/>
      <w:bCs/>
      <w:sz w:val="32"/>
      <w:szCs w:val="32"/>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4"/>
    <w:unhideWhenUsed/>
    <w:qFormat/>
    <w:uiPriority w:val="0"/>
    <w:rPr>
      <w:b/>
      <w:bCs/>
    </w:rPr>
  </w:style>
  <w:style w:type="paragraph" w:styleId="6">
    <w:name w:val="annotation text"/>
    <w:basedOn w:val="1"/>
    <w:link w:val="23"/>
    <w:unhideWhenUsed/>
    <w:uiPriority w:val="0"/>
    <w:pPr>
      <w:jc w:val="left"/>
    </w:pPr>
  </w:style>
  <w:style w:type="paragraph" w:styleId="7">
    <w:name w:val="Document Map"/>
    <w:basedOn w:val="1"/>
    <w:link w:val="37"/>
    <w:semiHidden/>
    <w:qFormat/>
    <w:uiPriority w:val="0"/>
    <w:pPr>
      <w:shd w:val="clear" w:color="auto" w:fill="000080"/>
    </w:pPr>
    <w:rPr>
      <w:rFonts w:ascii="Calibri" w:hAnsi="Calibri"/>
      <w:szCs w:val="22"/>
    </w:rPr>
  </w:style>
  <w:style w:type="paragraph" w:styleId="8">
    <w:name w:val="Block Text"/>
    <w:basedOn w:val="1"/>
    <w:semiHidden/>
    <w:qFormat/>
    <w:uiPriority w:val="0"/>
    <w:pPr>
      <w:spacing w:before="120"/>
      <w:ind w:left="79" w:right="57"/>
    </w:pPr>
    <w:rPr>
      <w:rFonts w:ascii="宋体" w:hAnsi="宋体"/>
      <w:szCs w:val="20"/>
    </w:rPr>
  </w:style>
  <w:style w:type="paragraph" w:styleId="9">
    <w:name w:val="Balloon Text"/>
    <w:basedOn w:val="1"/>
    <w:link w:val="25"/>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link w:val="35"/>
    <w:qFormat/>
    <w:uiPriority w:val="0"/>
    <w:pPr>
      <w:spacing w:before="240" w:after="60" w:line="312" w:lineRule="auto"/>
      <w:jc w:val="center"/>
      <w:outlineLvl w:val="1"/>
    </w:pPr>
    <w:rPr>
      <w:rFonts w:ascii="Cambria" w:hAnsi="Cambria"/>
      <w:b/>
      <w:bCs/>
      <w:kern w:val="28"/>
      <w:sz w:val="32"/>
      <w:szCs w:val="32"/>
    </w:rPr>
  </w:style>
  <w:style w:type="paragraph" w:styleId="13">
    <w:name w:val="toc 2"/>
    <w:basedOn w:val="1"/>
    <w:next w:val="1"/>
    <w:unhideWhenUsed/>
    <w:qFormat/>
    <w:uiPriority w:val="0"/>
    <w:pPr>
      <w:widowControl/>
      <w:tabs>
        <w:tab w:val="left" w:pos="851"/>
        <w:tab w:val="right" w:leader="dot" w:pos="8296"/>
      </w:tabs>
      <w:ind w:left="560" w:leftChars="200"/>
      <w:jc w:val="left"/>
    </w:pPr>
    <w:rPr>
      <w:rFonts w:ascii="宋体" w:hAnsi="宋体" w:cs="宋体"/>
      <w:kern w:val="0"/>
      <w:sz w:val="28"/>
    </w:rPr>
  </w:style>
  <w:style w:type="paragraph" w:styleId="14">
    <w:name w:val="Title"/>
    <w:basedOn w:val="1"/>
    <w:next w:val="1"/>
    <w:link w:val="29"/>
    <w:qFormat/>
    <w:uiPriority w:val="0"/>
    <w:pPr>
      <w:spacing w:before="240" w:after="60"/>
      <w:jc w:val="center"/>
      <w:outlineLvl w:val="0"/>
    </w:pPr>
    <w:rPr>
      <w:rFonts w:ascii="Cambria" w:hAnsi="Cambria"/>
      <w:b/>
      <w:bCs/>
      <w:kern w:val="0"/>
      <w:sz w:val="32"/>
      <w:szCs w:val="32"/>
    </w:rPr>
  </w:style>
  <w:style w:type="character" w:styleId="16">
    <w:name w:val="annotation reference"/>
    <w:basedOn w:val="15"/>
    <w:unhideWhenUsed/>
    <w:qFormat/>
    <w:uiPriority w:val="0"/>
    <w:rPr>
      <w:sz w:val="21"/>
      <w:szCs w:val="21"/>
    </w:rPr>
  </w:style>
  <w:style w:type="character" w:customStyle="1" w:styleId="18">
    <w:name w:val="apple-style-span"/>
    <w:basedOn w:val="15"/>
    <w:uiPriority w:val="0"/>
  </w:style>
  <w:style w:type="paragraph" w:customStyle="1" w:styleId="19">
    <w:name w:val="条款正文"/>
    <w:basedOn w:val="1"/>
    <w:qFormat/>
    <w:uiPriority w:val="0"/>
    <w:pPr>
      <w:adjustRightInd w:val="0"/>
      <w:snapToGrid w:val="0"/>
      <w:ind w:left="840" w:leftChars="400" w:firstLine="420" w:firstLineChars="200"/>
    </w:pPr>
  </w:style>
  <w:style w:type="paragraph" w:customStyle="1" w:styleId="20">
    <w:name w:val="条款标题"/>
    <w:basedOn w:val="19"/>
    <w:qFormat/>
    <w:uiPriority w:val="0"/>
    <w:pPr>
      <w:tabs>
        <w:tab w:val="left" w:pos="840"/>
      </w:tabs>
      <w:ind w:left="0" w:leftChars="0" w:firstLine="0" w:firstLineChars="0"/>
    </w:pPr>
    <w:rPr>
      <w:b/>
    </w:rPr>
  </w:style>
  <w:style w:type="character" w:customStyle="1" w:styleId="21">
    <w:name w:val="页眉 Char"/>
    <w:basedOn w:val="15"/>
    <w:link w:val="11"/>
    <w:qFormat/>
    <w:uiPriority w:val="99"/>
    <w:rPr>
      <w:rFonts w:ascii="Times New Roman" w:hAnsi="Times New Roman" w:eastAsia="宋体" w:cs="Times New Roman"/>
      <w:sz w:val="18"/>
      <w:szCs w:val="18"/>
    </w:rPr>
  </w:style>
  <w:style w:type="character" w:customStyle="1" w:styleId="22">
    <w:name w:val="页脚 Char"/>
    <w:basedOn w:val="15"/>
    <w:link w:val="10"/>
    <w:qFormat/>
    <w:uiPriority w:val="99"/>
    <w:rPr>
      <w:rFonts w:ascii="Times New Roman" w:hAnsi="Times New Roman" w:eastAsia="宋体" w:cs="Times New Roman"/>
      <w:sz w:val="18"/>
      <w:szCs w:val="18"/>
    </w:rPr>
  </w:style>
  <w:style w:type="character" w:customStyle="1" w:styleId="23">
    <w:name w:val="批注文字 Char"/>
    <w:basedOn w:val="15"/>
    <w:link w:val="6"/>
    <w:semiHidden/>
    <w:qFormat/>
    <w:uiPriority w:val="0"/>
    <w:rPr>
      <w:rFonts w:ascii="Times New Roman" w:hAnsi="Times New Roman" w:eastAsia="宋体" w:cs="Times New Roman"/>
      <w:szCs w:val="24"/>
    </w:rPr>
  </w:style>
  <w:style w:type="character" w:customStyle="1" w:styleId="24">
    <w:name w:val="批注主题 Char"/>
    <w:basedOn w:val="23"/>
    <w:link w:val="5"/>
    <w:semiHidden/>
    <w:qFormat/>
    <w:uiPriority w:val="99"/>
    <w:rPr>
      <w:rFonts w:ascii="Times New Roman" w:hAnsi="Times New Roman" w:eastAsia="宋体" w:cs="Times New Roman"/>
      <w:b/>
      <w:bCs/>
      <w:szCs w:val="24"/>
    </w:rPr>
  </w:style>
  <w:style w:type="character" w:customStyle="1" w:styleId="25">
    <w:name w:val="批注框文本 Char"/>
    <w:basedOn w:val="15"/>
    <w:link w:val="9"/>
    <w:semiHidden/>
    <w:qFormat/>
    <w:uiPriority w:val="99"/>
    <w:rPr>
      <w:rFonts w:ascii="Times New Roman" w:hAnsi="Times New Roman" w:eastAsia="宋体" w:cs="Times New Roman"/>
      <w:sz w:val="18"/>
      <w:szCs w:val="18"/>
    </w:rPr>
  </w:style>
  <w:style w:type="character" w:customStyle="1" w:styleId="26">
    <w:name w:val="标题 1 Char"/>
    <w:basedOn w:val="15"/>
    <w:link w:val="2"/>
    <w:qFormat/>
    <w:uiPriority w:val="9"/>
    <w:rPr>
      <w:rFonts w:ascii="Calibri" w:hAnsi="Calibri" w:eastAsia="宋体" w:cs="Times New Roman"/>
      <w:b/>
      <w:bCs/>
      <w:kern w:val="44"/>
      <w:sz w:val="44"/>
      <w:szCs w:val="44"/>
    </w:rPr>
  </w:style>
  <w:style w:type="character" w:customStyle="1" w:styleId="27">
    <w:name w:val="标题 2 Char"/>
    <w:basedOn w:val="15"/>
    <w:link w:val="3"/>
    <w:qFormat/>
    <w:uiPriority w:val="0"/>
    <w:rPr>
      <w:rFonts w:ascii="Arial" w:hAnsi="Arial" w:eastAsia="黑体" w:cs="Times New Roman"/>
      <w:b/>
      <w:bCs/>
      <w:sz w:val="32"/>
      <w:szCs w:val="32"/>
    </w:rPr>
  </w:style>
  <w:style w:type="character" w:customStyle="1" w:styleId="28">
    <w:name w:val="标题 3 Char"/>
    <w:basedOn w:val="15"/>
    <w:link w:val="4"/>
    <w:qFormat/>
    <w:uiPriority w:val="0"/>
    <w:rPr>
      <w:rFonts w:ascii="Calibri" w:hAnsi="Calibri" w:eastAsia="宋体" w:cs="Times New Roman"/>
      <w:b/>
      <w:bCs/>
      <w:sz w:val="32"/>
      <w:szCs w:val="32"/>
    </w:rPr>
  </w:style>
  <w:style w:type="character" w:customStyle="1" w:styleId="29">
    <w:name w:val="标题 Char"/>
    <w:basedOn w:val="15"/>
    <w:link w:val="14"/>
    <w:qFormat/>
    <w:uiPriority w:val="0"/>
    <w:rPr>
      <w:rFonts w:ascii="Cambria" w:hAnsi="Cambria" w:eastAsia="宋体" w:cs="Times New Roman"/>
      <w:b/>
      <w:bCs/>
      <w:kern w:val="0"/>
      <w:sz w:val="32"/>
      <w:szCs w:val="32"/>
    </w:rPr>
  </w:style>
  <w:style w:type="paragraph" w:customStyle="1" w:styleId="30">
    <w:name w:val="条款大标题"/>
    <w:basedOn w:val="14"/>
    <w:link w:val="31"/>
    <w:qFormat/>
    <w:uiPriority w:val="0"/>
    <w:pPr>
      <w:snapToGrid w:val="0"/>
    </w:pPr>
    <w:rPr>
      <w:kern w:val="2"/>
    </w:rPr>
  </w:style>
  <w:style w:type="character" w:customStyle="1" w:styleId="31">
    <w:name w:val="条款大标题 Char"/>
    <w:link w:val="30"/>
    <w:qFormat/>
    <w:uiPriority w:val="0"/>
    <w:rPr>
      <w:rFonts w:ascii="Cambria" w:hAnsi="Cambria" w:eastAsia="宋体" w:cs="Times New Roman"/>
      <w:b/>
      <w:bCs/>
      <w:sz w:val="32"/>
      <w:szCs w:val="32"/>
    </w:rPr>
  </w:style>
  <w:style w:type="character" w:customStyle="1" w:styleId="32">
    <w:name w:val="apple-converted-space"/>
    <w:basedOn w:val="15"/>
    <w:qFormat/>
    <w:uiPriority w:val="0"/>
  </w:style>
  <w:style w:type="paragraph" w:customStyle="1" w:styleId="33">
    <w:name w:val="Body Text 2"/>
    <w:basedOn w:val="1"/>
    <w:qFormat/>
    <w:uiPriority w:val="0"/>
    <w:pPr>
      <w:adjustRightInd w:val="0"/>
      <w:ind w:firstLine="552"/>
      <w:jc w:val="left"/>
      <w:textAlignment w:val="baseline"/>
    </w:pPr>
    <w:rPr>
      <w:rFonts w:ascii="宋体"/>
      <w:kern w:val="0"/>
      <w:sz w:val="28"/>
      <w:szCs w:val="20"/>
    </w:rPr>
  </w:style>
  <w:style w:type="paragraph" w:customStyle="1" w:styleId="34">
    <w:name w:val=" Char Char Char"/>
    <w:basedOn w:val="1"/>
    <w:qFormat/>
    <w:uiPriority w:val="0"/>
    <w:pPr>
      <w:tabs>
        <w:tab w:val="left" w:pos="1440"/>
      </w:tabs>
      <w:ind w:left="1296" w:hanging="1296"/>
    </w:pPr>
    <w:rPr>
      <w:rFonts w:ascii="Arial" w:hAnsi="Arial" w:cs="Arial"/>
      <w:sz w:val="20"/>
      <w:szCs w:val="20"/>
    </w:rPr>
  </w:style>
  <w:style w:type="character" w:customStyle="1" w:styleId="35">
    <w:name w:val="副标题 Char"/>
    <w:basedOn w:val="15"/>
    <w:link w:val="12"/>
    <w:qFormat/>
    <w:uiPriority w:val="0"/>
    <w:rPr>
      <w:rFonts w:ascii="Cambria" w:hAnsi="Cambria" w:eastAsia="宋体" w:cs="Times New Roman"/>
      <w:b/>
      <w:bCs/>
      <w:kern w:val="28"/>
      <w:sz w:val="32"/>
      <w:szCs w:val="32"/>
    </w:rPr>
  </w:style>
  <w:style w:type="paragraph" w:customStyle="1" w:styleId="36">
    <w:name w:val=" Char"/>
    <w:basedOn w:val="7"/>
    <w:qFormat/>
    <w:uiPriority w:val="0"/>
    <w:pPr>
      <w:adjustRightInd w:val="0"/>
      <w:snapToGrid w:val="0"/>
      <w:spacing w:line="360" w:lineRule="auto"/>
    </w:pPr>
    <w:rPr>
      <w:rFonts w:ascii="Tahoma" w:hAnsi="Tahoma"/>
      <w:sz w:val="24"/>
      <w:szCs w:val="24"/>
    </w:rPr>
  </w:style>
  <w:style w:type="character" w:customStyle="1" w:styleId="37">
    <w:name w:val="文档结构图 Char"/>
    <w:basedOn w:val="15"/>
    <w:link w:val="7"/>
    <w:semiHidden/>
    <w:uiPriority w:val="0"/>
    <w:rPr>
      <w:rFonts w:ascii="Calibri" w:hAnsi="Calibri" w:eastAsia="宋体" w:cs="Times New Roman"/>
      <w:shd w:val="clear" w:color="auto" w:fill="000080"/>
    </w:rPr>
  </w:style>
  <w:style w:type="paragraph" w:customStyle="1" w:styleId="38">
    <w:name w:val=" Char Char1 Char Char Char Char"/>
    <w:basedOn w:val="1"/>
    <w:qFormat/>
    <w:uiPriority w:val="0"/>
    <w:pPr>
      <w:widowControl/>
      <w:autoSpaceDE w:val="0"/>
      <w:autoSpaceDN w:val="0"/>
      <w:adjustRightInd w:val="0"/>
      <w:jc w:val="left"/>
    </w:pPr>
    <w:rPr>
      <w:rFonts w:ascii="Futura Bk" w:hAnsi="Futura Bk"/>
      <w:kern w:val="0"/>
      <w:sz w:val="20"/>
      <w:szCs w:val="20"/>
      <w:lang w:val="en-GB" w:eastAsia="en-US"/>
    </w:rPr>
  </w:style>
  <w:style w:type="character" w:customStyle="1" w:styleId="39">
    <w:name w:val=" Char Char10"/>
    <w:qFormat/>
    <w:uiPriority w:val="0"/>
    <w:rPr>
      <w:b/>
      <w:bCs/>
      <w:kern w:val="44"/>
      <w:sz w:val="44"/>
      <w:szCs w:val="44"/>
    </w:rPr>
  </w:style>
  <w:style w:type="paragraph" w:customStyle="1" w:styleId="40">
    <w:name w:val="注解（小四，楷体）"/>
    <w:basedOn w:val="1"/>
    <w:link w:val="41"/>
    <w:qFormat/>
    <w:uiPriority w:val="0"/>
    <w:pPr>
      <w:widowControl/>
      <w:contextualSpacing/>
      <w:jc w:val="left"/>
    </w:pPr>
    <w:rPr>
      <w:rFonts w:ascii="楷体" w:hAnsi="楷体" w:eastAsia="楷体" w:cs="宋体"/>
      <w:kern w:val="0"/>
      <w:sz w:val="24"/>
    </w:rPr>
  </w:style>
  <w:style w:type="character" w:customStyle="1" w:styleId="41">
    <w:name w:val="注解（小四，楷体） Char"/>
    <w:link w:val="40"/>
    <w:qFormat/>
    <w:uiPriority w:val="0"/>
    <w:rPr>
      <w:rFonts w:ascii="楷体" w:hAnsi="楷体" w:eastAsia="楷体" w:cs="宋体"/>
      <w:kern w:val="0"/>
      <w:sz w:val="24"/>
      <w:szCs w:val="24"/>
    </w:rPr>
  </w:style>
  <w:style w:type="paragraph" w:customStyle="1" w:styleId="42">
    <w:name w:val="表格（小四，宋体）"/>
    <w:basedOn w:val="1"/>
    <w:link w:val="43"/>
    <w:qFormat/>
    <w:uiPriority w:val="0"/>
    <w:pPr>
      <w:widowControl/>
      <w:contextualSpacing/>
      <w:jc w:val="left"/>
    </w:pPr>
    <w:rPr>
      <w:rFonts w:ascii="宋体" w:hAnsi="宋体" w:cs="宋体"/>
      <w:kern w:val="0"/>
      <w:sz w:val="24"/>
    </w:rPr>
  </w:style>
  <w:style w:type="character" w:customStyle="1" w:styleId="43">
    <w:name w:val="表格（小四，宋体） Char"/>
    <w:link w:val="42"/>
    <w:qFormat/>
    <w:uiPriority w:val="0"/>
    <w:rPr>
      <w:rFonts w:ascii="宋体" w:hAnsi="宋体" w:eastAsia="宋体" w:cs="宋体"/>
      <w:kern w:val="0"/>
      <w:sz w:val="24"/>
      <w:szCs w:val="24"/>
    </w:rPr>
  </w:style>
  <w:style w:type="paragraph" w:customStyle="1" w:styleId="44">
    <w:name w:val="No Spacing"/>
    <w:link w:val="45"/>
    <w:qFormat/>
    <w:uiPriority w:val="0"/>
    <w:rPr>
      <w:rFonts w:ascii="Calibri" w:hAnsi="Calibri" w:eastAsia="宋体" w:cs="Times New Roman"/>
      <w:kern w:val="0"/>
      <w:sz w:val="22"/>
      <w:szCs w:val="22"/>
      <w:lang w:val="en-US" w:eastAsia="zh-CN" w:bidi="ar-SA"/>
    </w:rPr>
  </w:style>
  <w:style w:type="character" w:customStyle="1" w:styleId="45">
    <w:name w:val="无间隔 Char"/>
    <w:link w:val="44"/>
    <w:qFormat/>
    <w:uiPriority w:val="0"/>
    <w:rPr>
      <w:rFonts w:ascii="Calibri" w:hAnsi="Calibri" w:eastAsia="宋体" w:cs="Times New Roman"/>
      <w:kern w:val="0"/>
      <w:sz w:val="22"/>
    </w:rPr>
  </w:style>
  <w:style w:type="paragraph" w:customStyle="1" w:styleId="46">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EF31D7-E91A-4B3C-ADE0-565047B0DF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2912</Words>
  <Characters>16605</Characters>
  <Lines>138</Lines>
  <Paragraphs>38</Paragraphs>
  <ScaleCrop>false</ScaleCrop>
  <LinksUpToDate>false</LinksUpToDate>
  <CharactersWithSpaces>19479</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2017-12-14T12:19:00Z</dcterms:created>
  <dc:creator>HQ.YJ邱昊颙</dc:creator>
  <cp:lastModifiedBy>黎吕鹏</cp:lastModifiedBy>
  <dcterms:modified xsi:type="dcterms:W3CDTF">2018-07-23T00:55:38Z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