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pPr w:leftFromText="180" w:rightFromText="180" w:horzAnchor="margin" w:tblpXSpec="center" w:tblpY="422"/>
        <w:tblW w:w="5587" w:type="pct"/>
        <w:tblInd w:w="0" w:type="dxa"/>
        <w:tblLayout w:type="autofit"/>
        <w:tblCellMar>
          <w:top w:w="0" w:type="dxa"/>
          <w:left w:w="108" w:type="dxa"/>
          <w:bottom w:w="0" w:type="dxa"/>
          <w:right w:w="108" w:type="dxa"/>
        </w:tblCellMar>
      </w:tblPr>
      <w:tblGrid>
        <w:gridCol w:w="486"/>
        <w:gridCol w:w="9036"/>
      </w:tblGrid>
      <w:tr>
        <w:tblPrEx>
          <w:tblCellMar>
            <w:top w:w="0" w:type="dxa"/>
            <w:left w:w="108" w:type="dxa"/>
            <w:bottom w:w="0" w:type="dxa"/>
            <w:right w:w="108" w:type="dxa"/>
          </w:tblCellMar>
        </w:tblPrEx>
        <w:trPr>
          <w:trHeight w:val="1440" w:hRule="atLeast"/>
        </w:trPr>
        <w:tc>
          <w:tcPr>
            <w:tcW w:w="5000" w:type="pct"/>
            <w:gridSpan w:val="2"/>
            <w:tcBorders>
              <w:bottom w:val="single" w:color="4F81BD" w:sz="4" w:space="0"/>
            </w:tcBorders>
            <w:vAlign w:val="center"/>
          </w:tcPr>
          <w:p>
            <w:pPr>
              <w:pStyle w:val="48"/>
              <w:jc w:val="center"/>
              <w:rPr>
                <w:rFonts w:ascii="宋体" w:hAnsi="宋体"/>
                <w:b/>
                <w:sz w:val="21"/>
                <w:szCs w:val="21"/>
              </w:rPr>
            </w:pPr>
            <w:r>
              <w:rPr>
                <w:rFonts w:hint="eastAsia" w:ascii="宋体" w:hAnsi="宋体"/>
                <w:b/>
                <w:sz w:val="21"/>
                <w:szCs w:val="21"/>
              </w:rPr>
              <w:t>人身保险伤残评定标准</w:t>
            </w:r>
          </w:p>
        </w:tc>
      </w:tr>
      <w:tr>
        <w:tblPrEx>
          <w:tblCellMar>
            <w:top w:w="0" w:type="dxa"/>
            <w:left w:w="108" w:type="dxa"/>
            <w:bottom w:w="0" w:type="dxa"/>
            <w:right w:w="108" w:type="dxa"/>
          </w:tblCellMar>
        </w:tblPrEx>
        <w:trPr>
          <w:gridBefore w:val="1"/>
          <w:wBefore w:w="255" w:type="pct"/>
          <w:trHeight w:val="720" w:hRule="atLeast"/>
        </w:trPr>
        <w:tc>
          <w:tcPr>
            <w:tcW w:w="4745" w:type="pct"/>
            <w:tcBorders>
              <w:top w:val="single" w:color="4F81BD" w:sz="4" w:space="0"/>
            </w:tcBorders>
            <w:vAlign w:val="center"/>
          </w:tcPr>
          <w:p>
            <w:pPr>
              <w:pStyle w:val="48"/>
              <w:jc w:val="center"/>
              <w:rPr>
                <w:rFonts w:ascii="宋体" w:hAnsi="宋体"/>
                <w:sz w:val="21"/>
                <w:szCs w:val="21"/>
              </w:rPr>
            </w:pPr>
            <w:r>
              <w:rPr>
                <w:rFonts w:ascii="宋体" w:hAnsi="宋体"/>
                <w:b/>
                <w:bCs/>
                <w:kern w:val="44"/>
                <w:sz w:val="21"/>
                <w:szCs w:val="21"/>
              </w:rPr>
              <w:t xml:space="preserve">     </w:t>
            </w:r>
          </w:p>
        </w:tc>
      </w:tr>
      <w:tr>
        <w:tblPrEx>
          <w:tblCellMar>
            <w:top w:w="0" w:type="dxa"/>
            <w:left w:w="108" w:type="dxa"/>
            <w:bottom w:w="0" w:type="dxa"/>
            <w:right w:w="108" w:type="dxa"/>
          </w:tblCellMar>
        </w:tblPrEx>
        <w:trPr>
          <w:gridBefore w:val="1"/>
          <w:wBefore w:w="255" w:type="pct"/>
          <w:trHeight w:val="360" w:hRule="atLeast"/>
        </w:trPr>
        <w:tc>
          <w:tcPr>
            <w:tcW w:w="4745" w:type="pct"/>
            <w:vAlign w:val="center"/>
          </w:tcPr>
          <w:p>
            <w:pPr>
              <w:pStyle w:val="48"/>
              <w:jc w:val="center"/>
              <w:rPr>
                <w:rFonts w:ascii="宋体" w:hAnsi="宋体"/>
                <w:sz w:val="21"/>
                <w:szCs w:val="21"/>
              </w:rPr>
            </w:pPr>
          </w:p>
        </w:tc>
      </w:tr>
      <w:tr>
        <w:tblPrEx>
          <w:tblCellMar>
            <w:top w:w="0" w:type="dxa"/>
            <w:left w:w="108" w:type="dxa"/>
            <w:bottom w:w="0" w:type="dxa"/>
            <w:right w:w="108" w:type="dxa"/>
          </w:tblCellMar>
        </w:tblPrEx>
        <w:trPr>
          <w:gridBefore w:val="1"/>
          <w:wBefore w:w="255" w:type="pct"/>
          <w:trHeight w:val="360" w:hRule="atLeast"/>
        </w:trPr>
        <w:tc>
          <w:tcPr>
            <w:tcW w:w="4745" w:type="pct"/>
            <w:vAlign w:val="center"/>
          </w:tcPr>
          <w:p>
            <w:pPr>
              <w:pStyle w:val="48"/>
              <w:rPr>
                <w:rFonts w:ascii="宋体" w:hAnsi="宋体" w:cs="宋体"/>
                <w:b/>
                <w:bCs/>
                <w:sz w:val="21"/>
                <w:szCs w:val="21"/>
              </w:rPr>
            </w:pPr>
          </w:p>
          <w:p>
            <w:pPr>
              <w:pStyle w:val="48"/>
              <w:rPr>
                <w:rFonts w:ascii="宋体" w:hAnsi="宋体" w:cs="宋体"/>
                <w:b/>
                <w:bCs/>
                <w:sz w:val="21"/>
                <w:szCs w:val="21"/>
              </w:rPr>
            </w:pPr>
          </w:p>
          <w:p>
            <w:pPr>
              <w:pStyle w:val="48"/>
              <w:rPr>
                <w:rFonts w:hint="eastAsia" w:ascii="宋体" w:hAnsi="宋体"/>
                <w:caps/>
                <w:sz w:val="21"/>
                <w:szCs w:val="21"/>
              </w:rPr>
            </w:pPr>
          </w:p>
          <w:p>
            <w:pPr>
              <w:pStyle w:val="48"/>
              <w:rPr>
                <w:rFonts w:hint="eastAsia" w:ascii="宋体" w:hAnsi="宋体"/>
                <w:caps/>
                <w:sz w:val="21"/>
                <w:szCs w:val="21"/>
              </w:rPr>
            </w:pPr>
          </w:p>
          <w:p>
            <w:pPr>
              <w:pStyle w:val="48"/>
              <w:rPr>
                <w:rFonts w:hint="eastAsia" w:ascii="宋体" w:hAnsi="宋体"/>
                <w:caps/>
                <w:sz w:val="21"/>
                <w:szCs w:val="21"/>
              </w:rPr>
            </w:pPr>
          </w:p>
          <w:p>
            <w:pPr>
              <w:pStyle w:val="48"/>
              <w:rPr>
                <w:rFonts w:hint="eastAsia" w:ascii="宋体" w:hAnsi="宋体"/>
                <w:caps/>
                <w:sz w:val="21"/>
                <w:szCs w:val="21"/>
              </w:rPr>
            </w:pPr>
          </w:p>
          <w:p>
            <w:pPr>
              <w:pStyle w:val="48"/>
              <w:jc w:val="center"/>
              <w:rPr>
                <w:rFonts w:hint="eastAsia" w:ascii="宋体" w:hAnsi="宋体"/>
                <w:b/>
                <w:caps/>
                <w:sz w:val="21"/>
                <w:szCs w:val="21"/>
              </w:rPr>
            </w:pPr>
            <w:r>
              <w:rPr>
                <w:rFonts w:hint="eastAsia" w:ascii="宋体" w:hAnsi="宋体"/>
                <w:b/>
                <w:caps/>
                <w:sz w:val="21"/>
                <w:szCs w:val="21"/>
              </w:rPr>
              <w:t>中国保险行业协会、中国法医学会</w:t>
            </w:r>
          </w:p>
          <w:p>
            <w:pPr>
              <w:pStyle w:val="48"/>
              <w:jc w:val="center"/>
              <w:rPr>
                <w:rFonts w:hint="eastAsia" w:ascii="宋体" w:hAnsi="宋体"/>
                <w:b/>
                <w:caps/>
                <w:sz w:val="21"/>
                <w:szCs w:val="21"/>
              </w:rPr>
            </w:pPr>
            <w:r>
              <w:rPr>
                <w:rFonts w:hint="eastAsia" w:ascii="宋体" w:hAnsi="宋体"/>
                <w:b/>
                <w:caps/>
                <w:sz w:val="21"/>
                <w:szCs w:val="21"/>
              </w:rPr>
              <w:t>联合发布</w:t>
            </w:r>
          </w:p>
          <w:p>
            <w:pPr>
              <w:pStyle w:val="48"/>
              <w:rPr>
                <w:rFonts w:hint="eastAsia" w:ascii="宋体" w:hAnsi="宋体"/>
                <w:caps/>
                <w:sz w:val="21"/>
                <w:szCs w:val="21"/>
              </w:rPr>
            </w:pPr>
          </w:p>
          <w:p>
            <w:pPr>
              <w:pStyle w:val="48"/>
              <w:rPr>
                <w:rFonts w:hint="eastAsia" w:ascii="宋体" w:hAnsi="宋体" w:cs="宋体"/>
                <w:b/>
                <w:bCs/>
                <w:sz w:val="21"/>
                <w:szCs w:val="21"/>
              </w:rPr>
            </w:pPr>
          </w:p>
          <w:p>
            <w:pPr>
              <w:pStyle w:val="48"/>
              <w:rPr>
                <w:rFonts w:hint="eastAsia" w:ascii="宋体" w:hAnsi="宋体" w:cs="宋体"/>
                <w:b/>
                <w:bCs/>
                <w:sz w:val="21"/>
                <w:szCs w:val="21"/>
              </w:rPr>
            </w:pPr>
          </w:p>
          <w:p>
            <w:pPr>
              <w:pStyle w:val="48"/>
              <w:jc w:val="center"/>
              <w:rPr>
                <w:rFonts w:hint="eastAsia" w:ascii="宋体" w:hAnsi="宋体" w:cs="宋体"/>
                <w:b/>
                <w:bCs/>
                <w:sz w:val="21"/>
                <w:szCs w:val="21"/>
              </w:rPr>
            </w:pPr>
            <w:r>
              <w:rPr>
                <w:rFonts w:hint="eastAsia" w:ascii="宋体" w:hAnsi="宋体" w:cs="宋体"/>
                <w:b/>
                <w:bCs/>
                <w:sz w:val="21"/>
                <w:szCs w:val="21"/>
              </w:rPr>
              <w:t>二零一三年六月八日</w:t>
            </w:r>
          </w:p>
        </w:tc>
      </w:tr>
      <w:tr>
        <w:tblPrEx>
          <w:tblCellMar>
            <w:top w:w="0" w:type="dxa"/>
            <w:left w:w="108" w:type="dxa"/>
            <w:bottom w:w="0" w:type="dxa"/>
            <w:right w:w="108" w:type="dxa"/>
          </w:tblCellMar>
        </w:tblPrEx>
        <w:trPr>
          <w:gridBefore w:val="1"/>
          <w:wBefore w:w="255" w:type="pct"/>
          <w:trHeight w:val="360" w:hRule="atLeast"/>
        </w:trPr>
        <w:tc>
          <w:tcPr>
            <w:tcW w:w="4745" w:type="pct"/>
            <w:vAlign w:val="center"/>
          </w:tcPr>
          <w:p>
            <w:pPr>
              <w:pStyle w:val="48"/>
              <w:jc w:val="center"/>
              <w:rPr>
                <w:rFonts w:ascii="宋体" w:hAnsi="宋体" w:cs="宋体"/>
                <w:b/>
                <w:bCs/>
                <w:sz w:val="21"/>
                <w:szCs w:val="21"/>
              </w:rPr>
            </w:pPr>
          </w:p>
        </w:tc>
      </w:tr>
    </w:tbl>
    <w:p>
      <w:pPr>
        <w:rPr>
          <w:rFonts w:ascii="宋体" w:hAnsi="宋体"/>
          <w:b/>
          <w:szCs w:val="21"/>
        </w:rPr>
        <w:sectPr>
          <w:footerReference r:id="rId4" w:type="first"/>
          <w:footerReference r:id="rId3" w:type="default"/>
          <w:pgSz w:w="11906" w:h="16838"/>
          <w:pgMar w:top="1440" w:right="1800" w:bottom="1440" w:left="1800" w:header="851" w:footer="992" w:gutter="0"/>
          <w:pgNumType w:fmt="upperRoman" w:start="0"/>
          <w:cols w:space="425" w:num="1"/>
          <w:titlePg/>
          <w:docGrid w:type="lines" w:linePitch="381" w:charSpace="0"/>
        </w:sectPr>
      </w:pPr>
      <w:bookmarkStart w:id="69" w:name="_GoBack"/>
      <w:bookmarkEnd w:id="69"/>
    </w:p>
    <w:p>
      <w:pPr>
        <w:rPr>
          <w:rFonts w:ascii="宋体" w:hAnsi="宋体"/>
          <w:b/>
          <w:szCs w:val="21"/>
        </w:rPr>
      </w:pPr>
    </w:p>
    <w:p>
      <w:pPr>
        <w:pStyle w:val="50"/>
        <w:spacing w:before="0" w:line="240" w:lineRule="auto"/>
        <w:jc w:val="center"/>
        <w:rPr>
          <w:rFonts w:ascii="宋体" w:hAnsi="宋体"/>
          <w:color w:val="000000"/>
          <w:sz w:val="21"/>
          <w:szCs w:val="21"/>
        </w:rPr>
      </w:pPr>
      <w:r>
        <w:rPr>
          <w:rFonts w:ascii="宋体" w:hAnsi="宋体"/>
          <w:color w:val="000000"/>
          <w:sz w:val="21"/>
          <w:szCs w:val="21"/>
          <w:lang w:val="zh-CN"/>
        </w:rPr>
        <w:t>目录</w:t>
      </w:r>
    </w:p>
    <w:p>
      <w:pPr>
        <w:pStyle w:val="13"/>
        <w:tabs>
          <w:tab w:val="right" w:leader="dot" w:pos="8302"/>
        </w:tabs>
        <w:rPr>
          <w:rFonts w:cs="Times New Roman"/>
          <w:kern w:val="2"/>
          <w:sz w:val="21"/>
          <w:szCs w:val="21"/>
        </w:rPr>
      </w:pPr>
      <w:r>
        <w:rPr>
          <w:sz w:val="21"/>
          <w:szCs w:val="21"/>
        </w:rPr>
        <w:fldChar w:fldCharType="begin"/>
      </w:r>
      <w:r>
        <w:rPr>
          <w:sz w:val="21"/>
          <w:szCs w:val="21"/>
        </w:rPr>
        <w:instrText xml:space="preserve"> TOC \o "1-3" \h \z \u </w:instrText>
      </w:r>
      <w:r>
        <w:rPr>
          <w:sz w:val="21"/>
          <w:szCs w:val="21"/>
        </w:rPr>
        <w:fldChar w:fldCharType="separate"/>
      </w:r>
      <w:r>
        <w:fldChar w:fldCharType="begin"/>
      </w:r>
      <w:r>
        <w:instrText xml:space="preserve"> HYPERLINK \l "_Toc356463461" </w:instrText>
      </w:r>
      <w:r>
        <w:fldChar w:fldCharType="separate"/>
      </w:r>
      <w:r>
        <w:rPr>
          <w:rStyle w:val="21"/>
          <w:rFonts w:hint="eastAsia"/>
          <w:sz w:val="21"/>
          <w:szCs w:val="21"/>
        </w:rPr>
        <w:t>前</w:t>
      </w:r>
      <w:r>
        <w:rPr>
          <w:rStyle w:val="21"/>
          <w:sz w:val="21"/>
          <w:szCs w:val="21"/>
        </w:rPr>
        <w:t xml:space="preserve">    </w:t>
      </w:r>
      <w:r>
        <w:rPr>
          <w:rStyle w:val="21"/>
          <w:rFonts w:hint="eastAsia"/>
          <w:sz w:val="21"/>
          <w:szCs w:val="21"/>
        </w:rPr>
        <w:t>言</w:t>
      </w:r>
      <w:r>
        <w:rPr>
          <w:sz w:val="21"/>
          <w:szCs w:val="21"/>
        </w:rPr>
        <w:tab/>
      </w:r>
      <w:r>
        <w:rPr>
          <w:sz w:val="21"/>
          <w:szCs w:val="21"/>
        </w:rPr>
        <w:fldChar w:fldCharType="begin"/>
      </w:r>
      <w:r>
        <w:rPr>
          <w:sz w:val="21"/>
          <w:szCs w:val="21"/>
        </w:rPr>
        <w:instrText xml:space="preserve"> PAGEREF _Toc356463461 \h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13"/>
        <w:tabs>
          <w:tab w:val="right" w:leader="dot" w:pos="8302"/>
        </w:tabs>
        <w:rPr>
          <w:rFonts w:cs="Times New Roman"/>
          <w:kern w:val="2"/>
          <w:sz w:val="21"/>
          <w:szCs w:val="21"/>
        </w:rPr>
      </w:pPr>
      <w:r>
        <w:fldChar w:fldCharType="begin"/>
      </w:r>
      <w:r>
        <w:instrText xml:space="preserve"> HYPERLINK \l "_Toc356463462" </w:instrText>
      </w:r>
      <w:r>
        <w:fldChar w:fldCharType="separate"/>
      </w:r>
      <w:r>
        <w:rPr>
          <w:rStyle w:val="21"/>
          <w:rFonts w:hint="eastAsia"/>
          <w:sz w:val="21"/>
          <w:szCs w:val="21"/>
        </w:rPr>
        <w:t>人身保险伤残评定标准（行业标准）</w:t>
      </w:r>
      <w:r>
        <w:rPr>
          <w:sz w:val="21"/>
          <w:szCs w:val="21"/>
        </w:rPr>
        <w:tab/>
      </w:r>
      <w:r>
        <w:rPr>
          <w:sz w:val="21"/>
          <w:szCs w:val="21"/>
        </w:rPr>
        <w:fldChar w:fldCharType="begin"/>
      </w:r>
      <w:r>
        <w:rPr>
          <w:sz w:val="21"/>
          <w:szCs w:val="21"/>
        </w:rPr>
        <w:instrText xml:space="preserve"> PAGEREF _Toc356463462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14"/>
        <w:ind w:left="420"/>
        <w:rPr>
          <w:rFonts w:cs="Times New Roman"/>
          <w:kern w:val="2"/>
          <w:sz w:val="21"/>
          <w:szCs w:val="21"/>
        </w:rPr>
      </w:pPr>
      <w:r>
        <w:fldChar w:fldCharType="begin"/>
      </w:r>
      <w:r>
        <w:instrText xml:space="preserve"> HYPERLINK \l "_Toc356463463" </w:instrText>
      </w:r>
      <w:r>
        <w:fldChar w:fldCharType="separate"/>
      </w:r>
      <w:r>
        <w:rPr>
          <w:rStyle w:val="21"/>
          <w:sz w:val="21"/>
          <w:szCs w:val="21"/>
        </w:rPr>
        <w:t>1</w:t>
      </w:r>
      <w:r>
        <w:rPr>
          <w:rFonts w:cs="Times New Roman"/>
          <w:kern w:val="2"/>
          <w:sz w:val="21"/>
          <w:szCs w:val="21"/>
        </w:rPr>
        <w:tab/>
      </w:r>
      <w:r>
        <w:rPr>
          <w:rStyle w:val="21"/>
          <w:rFonts w:hint="eastAsia"/>
          <w:sz w:val="21"/>
          <w:szCs w:val="21"/>
        </w:rPr>
        <w:t>神经系统的结构和精神功能</w:t>
      </w:r>
      <w:r>
        <w:rPr>
          <w:sz w:val="21"/>
          <w:szCs w:val="21"/>
        </w:rPr>
        <w:tab/>
      </w:r>
      <w:r>
        <w:rPr>
          <w:sz w:val="21"/>
          <w:szCs w:val="21"/>
        </w:rPr>
        <w:fldChar w:fldCharType="begin"/>
      </w:r>
      <w:r>
        <w:rPr>
          <w:sz w:val="21"/>
          <w:szCs w:val="21"/>
        </w:rPr>
        <w:instrText xml:space="preserve"> PAGEREF _Toc356463463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"_Toc356463464" </w:instrText>
      </w:r>
      <w:r>
        <w:fldChar w:fldCharType="separate"/>
      </w:r>
      <w:r>
        <w:rPr>
          <w:rStyle w:val="21"/>
          <w:sz w:val="21"/>
          <w:szCs w:val="21"/>
        </w:rPr>
        <w:t>1.1</w:t>
      </w:r>
      <w:r>
        <w:rPr>
          <w:rFonts w:cs="Times New Roman"/>
          <w:kern w:val="2"/>
          <w:sz w:val="21"/>
          <w:szCs w:val="21"/>
        </w:rPr>
        <w:tab/>
      </w:r>
      <w:r>
        <w:rPr>
          <w:rStyle w:val="21"/>
          <w:rFonts w:hint="eastAsia"/>
          <w:sz w:val="21"/>
          <w:szCs w:val="21"/>
        </w:rPr>
        <w:t>脑膜的结构损伤</w:t>
      </w:r>
      <w:r>
        <w:rPr>
          <w:sz w:val="21"/>
          <w:szCs w:val="21"/>
        </w:rPr>
        <w:tab/>
      </w:r>
      <w:r>
        <w:rPr>
          <w:sz w:val="21"/>
          <w:szCs w:val="21"/>
        </w:rPr>
        <w:fldChar w:fldCharType="begin"/>
      </w:r>
      <w:r>
        <w:rPr>
          <w:sz w:val="21"/>
          <w:szCs w:val="21"/>
        </w:rPr>
        <w:instrText xml:space="preserve"> PAGEREF _Toc356463464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"_Toc356463465" </w:instrText>
      </w:r>
      <w:r>
        <w:fldChar w:fldCharType="separate"/>
      </w:r>
      <w:r>
        <w:rPr>
          <w:rStyle w:val="21"/>
          <w:sz w:val="21"/>
          <w:szCs w:val="21"/>
        </w:rPr>
        <w:t>1.2</w:t>
      </w:r>
      <w:r>
        <w:rPr>
          <w:rFonts w:cs="Times New Roman"/>
          <w:kern w:val="2"/>
          <w:sz w:val="21"/>
          <w:szCs w:val="21"/>
        </w:rPr>
        <w:tab/>
      </w:r>
      <w:r>
        <w:rPr>
          <w:rStyle w:val="21"/>
          <w:rFonts w:hint="eastAsia"/>
          <w:sz w:val="21"/>
          <w:szCs w:val="21"/>
        </w:rPr>
        <w:t>脑的结构损伤，智力功能障碍</w:t>
      </w:r>
      <w:r>
        <w:rPr>
          <w:sz w:val="21"/>
          <w:szCs w:val="21"/>
        </w:rPr>
        <w:tab/>
      </w:r>
      <w:r>
        <w:rPr>
          <w:sz w:val="21"/>
          <w:szCs w:val="21"/>
        </w:rPr>
        <w:fldChar w:fldCharType="begin"/>
      </w:r>
      <w:r>
        <w:rPr>
          <w:sz w:val="21"/>
          <w:szCs w:val="21"/>
        </w:rPr>
        <w:instrText xml:space="preserve"> PAGEREF _Toc356463465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"_Toc356463466" </w:instrText>
      </w:r>
      <w:r>
        <w:fldChar w:fldCharType="separate"/>
      </w:r>
      <w:r>
        <w:rPr>
          <w:rStyle w:val="21"/>
          <w:sz w:val="21"/>
          <w:szCs w:val="21"/>
        </w:rPr>
        <w:t>1.3</w:t>
      </w:r>
      <w:r>
        <w:rPr>
          <w:rFonts w:cs="Times New Roman"/>
          <w:kern w:val="2"/>
          <w:sz w:val="21"/>
          <w:szCs w:val="21"/>
        </w:rPr>
        <w:tab/>
      </w:r>
      <w:r>
        <w:rPr>
          <w:rStyle w:val="21"/>
          <w:rFonts w:hint="eastAsia"/>
          <w:sz w:val="21"/>
          <w:szCs w:val="21"/>
        </w:rPr>
        <w:t>意识功能障碍</w:t>
      </w:r>
      <w:r>
        <w:rPr>
          <w:sz w:val="21"/>
          <w:szCs w:val="21"/>
        </w:rPr>
        <w:tab/>
      </w:r>
      <w:r>
        <w:rPr>
          <w:sz w:val="21"/>
          <w:szCs w:val="21"/>
        </w:rPr>
        <w:fldChar w:fldCharType="begin"/>
      </w:r>
      <w:r>
        <w:rPr>
          <w:sz w:val="21"/>
          <w:szCs w:val="21"/>
        </w:rPr>
        <w:instrText xml:space="preserve"> PAGEREF _Toc356463466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14"/>
        <w:ind w:left="420"/>
        <w:rPr>
          <w:rFonts w:cs="Times New Roman"/>
          <w:kern w:val="2"/>
          <w:sz w:val="21"/>
          <w:szCs w:val="21"/>
        </w:rPr>
      </w:pPr>
      <w:r>
        <w:fldChar w:fldCharType="begin"/>
      </w:r>
      <w:r>
        <w:instrText xml:space="preserve"> HYPERLINK \l "_Toc356463467" </w:instrText>
      </w:r>
      <w:r>
        <w:fldChar w:fldCharType="separate"/>
      </w:r>
      <w:r>
        <w:rPr>
          <w:rStyle w:val="21"/>
          <w:sz w:val="21"/>
          <w:szCs w:val="21"/>
        </w:rPr>
        <w:t>2</w:t>
      </w:r>
      <w:r>
        <w:rPr>
          <w:rFonts w:cs="Times New Roman"/>
          <w:kern w:val="2"/>
          <w:sz w:val="21"/>
          <w:szCs w:val="21"/>
        </w:rPr>
        <w:tab/>
      </w:r>
      <w:r>
        <w:rPr>
          <w:rStyle w:val="21"/>
          <w:rFonts w:hint="eastAsia"/>
          <w:sz w:val="21"/>
          <w:szCs w:val="21"/>
        </w:rPr>
        <w:t>眼，耳和有关的结构和功能</w:t>
      </w:r>
      <w:r>
        <w:rPr>
          <w:sz w:val="21"/>
          <w:szCs w:val="21"/>
        </w:rPr>
        <w:tab/>
      </w:r>
      <w:r>
        <w:rPr>
          <w:sz w:val="21"/>
          <w:szCs w:val="21"/>
        </w:rPr>
        <w:fldChar w:fldCharType="begin"/>
      </w:r>
      <w:r>
        <w:rPr>
          <w:sz w:val="21"/>
          <w:szCs w:val="21"/>
        </w:rPr>
        <w:instrText xml:space="preserve"> PAGEREF _Toc356463467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"_Toc356463468" </w:instrText>
      </w:r>
      <w:r>
        <w:fldChar w:fldCharType="separate"/>
      </w:r>
      <w:r>
        <w:rPr>
          <w:rStyle w:val="21"/>
          <w:sz w:val="21"/>
          <w:szCs w:val="21"/>
        </w:rPr>
        <w:t>2.1</w:t>
      </w:r>
      <w:r>
        <w:rPr>
          <w:rFonts w:cs="Times New Roman"/>
          <w:kern w:val="2"/>
          <w:sz w:val="21"/>
          <w:szCs w:val="21"/>
        </w:rPr>
        <w:tab/>
      </w:r>
      <w:r>
        <w:rPr>
          <w:rStyle w:val="21"/>
          <w:rFonts w:hint="eastAsia"/>
          <w:sz w:val="21"/>
          <w:szCs w:val="21"/>
        </w:rPr>
        <w:t>眼球损伤或视功能障碍</w:t>
      </w:r>
      <w:r>
        <w:rPr>
          <w:sz w:val="21"/>
          <w:szCs w:val="21"/>
        </w:rPr>
        <w:tab/>
      </w:r>
      <w:r>
        <w:rPr>
          <w:sz w:val="21"/>
          <w:szCs w:val="21"/>
        </w:rPr>
        <w:fldChar w:fldCharType="begin"/>
      </w:r>
      <w:r>
        <w:rPr>
          <w:sz w:val="21"/>
          <w:szCs w:val="21"/>
        </w:rPr>
        <w:instrText xml:space="preserve"> PAGEREF _Toc356463468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"_Toc356463469" </w:instrText>
      </w:r>
      <w:r>
        <w:fldChar w:fldCharType="separate"/>
      </w:r>
      <w:r>
        <w:rPr>
          <w:rStyle w:val="21"/>
          <w:sz w:val="21"/>
          <w:szCs w:val="21"/>
        </w:rPr>
        <w:t>2.2</w:t>
      </w:r>
      <w:r>
        <w:rPr>
          <w:rFonts w:cs="Times New Roman"/>
          <w:kern w:val="2"/>
          <w:sz w:val="21"/>
          <w:szCs w:val="21"/>
        </w:rPr>
        <w:tab/>
      </w:r>
      <w:r>
        <w:rPr>
          <w:rStyle w:val="21"/>
          <w:rFonts w:hint="eastAsia"/>
          <w:sz w:val="21"/>
          <w:szCs w:val="21"/>
        </w:rPr>
        <w:t>视功能障碍</w:t>
      </w:r>
      <w:r>
        <w:rPr>
          <w:sz w:val="21"/>
          <w:szCs w:val="21"/>
        </w:rPr>
        <w:tab/>
      </w:r>
      <w:r>
        <w:rPr>
          <w:sz w:val="21"/>
          <w:szCs w:val="21"/>
        </w:rPr>
        <w:fldChar w:fldCharType="begin"/>
      </w:r>
      <w:r>
        <w:rPr>
          <w:sz w:val="21"/>
          <w:szCs w:val="21"/>
        </w:rPr>
        <w:instrText xml:space="preserve"> PAGEREF _Toc356463469 \h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"_Toc356463470" </w:instrText>
      </w:r>
      <w:r>
        <w:fldChar w:fldCharType="separate"/>
      </w:r>
      <w:r>
        <w:rPr>
          <w:rStyle w:val="21"/>
          <w:sz w:val="21"/>
          <w:szCs w:val="21"/>
        </w:rPr>
        <w:t>2.3</w:t>
      </w:r>
      <w:r>
        <w:rPr>
          <w:rFonts w:cs="Times New Roman"/>
          <w:kern w:val="2"/>
          <w:sz w:val="21"/>
          <w:szCs w:val="21"/>
        </w:rPr>
        <w:tab/>
      </w:r>
      <w:r>
        <w:rPr>
          <w:rStyle w:val="21"/>
          <w:rFonts w:hint="eastAsia"/>
          <w:sz w:val="21"/>
          <w:szCs w:val="21"/>
        </w:rPr>
        <w:t>眼球的晶状体结构损伤</w:t>
      </w:r>
      <w:r>
        <w:rPr>
          <w:sz w:val="21"/>
          <w:szCs w:val="21"/>
        </w:rPr>
        <w:tab/>
      </w:r>
      <w:r>
        <w:rPr>
          <w:sz w:val="21"/>
          <w:szCs w:val="21"/>
        </w:rPr>
        <w:fldChar w:fldCharType="begin"/>
      </w:r>
      <w:r>
        <w:rPr>
          <w:sz w:val="21"/>
          <w:szCs w:val="21"/>
        </w:rPr>
        <w:instrText xml:space="preserve"> PAGEREF _Toc356463470 \h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"_Toc356463471" </w:instrText>
      </w:r>
      <w:r>
        <w:fldChar w:fldCharType="separate"/>
      </w:r>
      <w:r>
        <w:rPr>
          <w:rStyle w:val="21"/>
          <w:sz w:val="21"/>
          <w:szCs w:val="21"/>
        </w:rPr>
        <w:t>2.4</w:t>
      </w:r>
      <w:r>
        <w:rPr>
          <w:rFonts w:cs="Times New Roman"/>
          <w:kern w:val="2"/>
          <w:sz w:val="21"/>
          <w:szCs w:val="21"/>
        </w:rPr>
        <w:tab/>
      </w:r>
      <w:r>
        <w:rPr>
          <w:rStyle w:val="21"/>
          <w:rFonts w:hint="eastAsia"/>
          <w:sz w:val="21"/>
          <w:szCs w:val="21"/>
        </w:rPr>
        <w:t>眼睑结构损伤</w:t>
      </w:r>
      <w:r>
        <w:rPr>
          <w:sz w:val="21"/>
          <w:szCs w:val="21"/>
        </w:rPr>
        <w:tab/>
      </w:r>
      <w:r>
        <w:rPr>
          <w:sz w:val="21"/>
          <w:szCs w:val="21"/>
        </w:rPr>
        <w:fldChar w:fldCharType="begin"/>
      </w:r>
      <w:r>
        <w:rPr>
          <w:sz w:val="21"/>
          <w:szCs w:val="21"/>
        </w:rPr>
        <w:instrText xml:space="preserve"> PAGEREF _Toc356463471 \h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"_Toc356463472" </w:instrText>
      </w:r>
      <w:r>
        <w:fldChar w:fldCharType="separate"/>
      </w:r>
      <w:r>
        <w:rPr>
          <w:rStyle w:val="21"/>
          <w:sz w:val="21"/>
          <w:szCs w:val="21"/>
        </w:rPr>
        <w:t>2.5</w:t>
      </w:r>
      <w:r>
        <w:rPr>
          <w:rFonts w:cs="Times New Roman"/>
          <w:kern w:val="2"/>
          <w:sz w:val="21"/>
          <w:szCs w:val="21"/>
        </w:rPr>
        <w:tab/>
      </w:r>
      <w:r>
        <w:rPr>
          <w:rStyle w:val="21"/>
          <w:rFonts w:hint="eastAsia"/>
          <w:sz w:val="21"/>
          <w:szCs w:val="21"/>
        </w:rPr>
        <w:t>耳廓结构损伤或听功能障碍</w:t>
      </w:r>
      <w:r>
        <w:rPr>
          <w:sz w:val="21"/>
          <w:szCs w:val="21"/>
        </w:rPr>
        <w:tab/>
      </w:r>
      <w:r>
        <w:rPr>
          <w:sz w:val="21"/>
          <w:szCs w:val="21"/>
        </w:rPr>
        <w:fldChar w:fldCharType="begin"/>
      </w:r>
      <w:r>
        <w:rPr>
          <w:sz w:val="21"/>
          <w:szCs w:val="21"/>
        </w:rPr>
        <w:instrText xml:space="preserve"> PAGEREF _Toc356463472 \h </w:instrText>
      </w:r>
      <w:r>
        <w:rPr>
          <w:sz w:val="21"/>
          <w:szCs w:val="21"/>
        </w:rPr>
        <w:fldChar w:fldCharType="separate"/>
      </w:r>
      <w:r>
        <w:rPr>
          <w:sz w:val="21"/>
          <w:szCs w:val="21"/>
        </w:rPr>
        <w:t>5</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"_Toc356463473" </w:instrText>
      </w:r>
      <w:r>
        <w:fldChar w:fldCharType="separate"/>
      </w:r>
      <w:r>
        <w:rPr>
          <w:rStyle w:val="21"/>
          <w:sz w:val="21"/>
          <w:szCs w:val="21"/>
        </w:rPr>
        <w:t>2.6</w:t>
      </w:r>
      <w:r>
        <w:rPr>
          <w:rFonts w:cs="Times New Roman"/>
          <w:kern w:val="2"/>
          <w:sz w:val="21"/>
          <w:szCs w:val="21"/>
        </w:rPr>
        <w:tab/>
      </w:r>
      <w:r>
        <w:rPr>
          <w:rStyle w:val="21"/>
          <w:rFonts w:hint="eastAsia"/>
          <w:sz w:val="21"/>
          <w:szCs w:val="21"/>
        </w:rPr>
        <w:t>听功能障碍</w:t>
      </w:r>
      <w:r>
        <w:rPr>
          <w:sz w:val="21"/>
          <w:szCs w:val="21"/>
        </w:rPr>
        <w:tab/>
      </w:r>
      <w:r>
        <w:rPr>
          <w:sz w:val="21"/>
          <w:szCs w:val="21"/>
        </w:rPr>
        <w:fldChar w:fldCharType="begin"/>
      </w:r>
      <w:r>
        <w:rPr>
          <w:sz w:val="21"/>
          <w:szCs w:val="21"/>
        </w:rPr>
        <w:instrText xml:space="preserve"> PAGEREF _Toc356463473 \h </w:instrText>
      </w:r>
      <w:r>
        <w:rPr>
          <w:sz w:val="21"/>
          <w:szCs w:val="21"/>
        </w:rPr>
        <w:fldChar w:fldCharType="separate"/>
      </w:r>
      <w:r>
        <w:rPr>
          <w:sz w:val="21"/>
          <w:szCs w:val="21"/>
        </w:rPr>
        <w:t>5</w:t>
      </w:r>
      <w:r>
        <w:rPr>
          <w:sz w:val="21"/>
          <w:szCs w:val="21"/>
        </w:rPr>
        <w:fldChar w:fldCharType="end"/>
      </w:r>
      <w:r>
        <w:rPr>
          <w:sz w:val="21"/>
          <w:szCs w:val="21"/>
        </w:rPr>
        <w:fldChar w:fldCharType="end"/>
      </w:r>
    </w:p>
    <w:p>
      <w:pPr>
        <w:pStyle w:val="14"/>
        <w:ind w:left="420"/>
        <w:rPr>
          <w:rFonts w:cs="Times New Roman"/>
          <w:kern w:val="2"/>
          <w:sz w:val="21"/>
          <w:szCs w:val="21"/>
        </w:rPr>
      </w:pPr>
      <w:r>
        <w:fldChar w:fldCharType="begin"/>
      </w:r>
      <w:r>
        <w:instrText xml:space="preserve"> HYPERLINK \l "_Toc356463474" </w:instrText>
      </w:r>
      <w:r>
        <w:fldChar w:fldCharType="separate"/>
      </w:r>
      <w:r>
        <w:rPr>
          <w:rStyle w:val="21"/>
          <w:sz w:val="21"/>
          <w:szCs w:val="21"/>
        </w:rPr>
        <w:t>3</w:t>
      </w:r>
      <w:r>
        <w:rPr>
          <w:rFonts w:cs="Times New Roman"/>
          <w:kern w:val="2"/>
          <w:sz w:val="21"/>
          <w:szCs w:val="21"/>
        </w:rPr>
        <w:tab/>
      </w:r>
      <w:r>
        <w:rPr>
          <w:rStyle w:val="21"/>
          <w:rFonts w:hint="eastAsia"/>
          <w:sz w:val="21"/>
          <w:szCs w:val="21"/>
        </w:rPr>
        <w:t>发声和言语的结构和功能</w:t>
      </w:r>
      <w:r>
        <w:rPr>
          <w:sz w:val="21"/>
          <w:szCs w:val="21"/>
        </w:rPr>
        <w:tab/>
      </w:r>
      <w:r>
        <w:rPr>
          <w:sz w:val="21"/>
          <w:szCs w:val="21"/>
        </w:rPr>
        <w:fldChar w:fldCharType="begin"/>
      </w:r>
      <w:r>
        <w:rPr>
          <w:sz w:val="21"/>
          <w:szCs w:val="21"/>
        </w:rPr>
        <w:instrText xml:space="preserve"> PAGEREF _Toc356463474 \h </w:instrText>
      </w:r>
      <w:r>
        <w:rPr>
          <w:sz w:val="21"/>
          <w:szCs w:val="21"/>
        </w:rPr>
        <w:fldChar w:fldCharType="separate"/>
      </w:r>
      <w:r>
        <w:rPr>
          <w:sz w:val="21"/>
          <w:szCs w:val="21"/>
        </w:rPr>
        <w:t>5</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"_Toc356463475" </w:instrText>
      </w:r>
      <w:r>
        <w:fldChar w:fldCharType="separate"/>
      </w:r>
      <w:r>
        <w:rPr>
          <w:rStyle w:val="21"/>
          <w:sz w:val="21"/>
          <w:szCs w:val="21"/>
        </w:rPr>
        <w:t>3.1</w:t>
      </w:r>
      <w:r>
        <w:rPr>
          <w:rFonts w:cs="Times New Roman"/>
          <w:kern w:val="2"/>
          <w:sz w:val="21"/>
          <w:szCs w:val="21"/>
        </w:rPr>
        <w:tab/>
      </w:r>
      <w:r>
        <w:rPr>
          <w:rStyle w:val="21"/>
          <w:rFonts w:hint="eastAsia"/>
          <w:sz w:val="21"/>
          <w:szCs w:val="21"/>
        </w:rPr>
        <w:t>鼻的结构损伤</w:t>
      </w:r>
      <w:r>
        <w:rPr>
          <w:sz w:val="21"/>
          <w:szCs w:val="21"/>
        </w:rPr>
        <w:tab/>
      </w:r>
      <w:r>
        <w:rPr>
          <w:sz w:val="21"/>
          <w:szCs w:val="21"/>
        </w:rPr>
        <w:fldChar w:fldCharType="begin"/>
      </w:r>
      <w:r>
        <w:rPr>
          <w:sz w:val="21"/>
          <w:szCs w:val="21"/>
        </w:rPr>
        <w:instrText xml:space="preserve"> PAGEREF _Toc356463475 \h </w:instrText>
      </w:r>
      <w:r>
        <w:rPr>
          <w:sz w:val="21"/>
          <w:szCs w:val="21"/>
        </w:rPr>
        <w:fldChar w:fldCharType="separate"/>
      </w:r>
      <w:r>
        <w:rPr>
          <w:sz w:val="21"/>
          <w:szCs w:val="21"/>
        </w:rPr>
        <w:t>5</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"_Toc356463476" </w:instrText>
      </w:r>
      <w:r>
        <w:fldChar w:fldCharType="separate"/>
      </w:r>
      <w:r>
        <w:rPr>
          <w:rStyle w:val="21"/>
          <w:sz w:val="21"/>
          <w:szCs w:val="21"/>
        </w:rPr>
        <w:t>3.2</w:t>
      </w:r>
      <w:r>
        <w:rPr>
          <w:rFonts w:cs="Times New Roman"/>
          <w:kern w:val="2"/>
          <w:sz w:val="21"/>
          <w:szCs w:val="21"/>
        </w:rPr>
        <w:tab/>
      </w:r>
      <w:r>
        <w:rPr>
          <w:rStyle w:val="21"/>
          <w:rFonts w:hint="eastAsia"/>
          <w:sz w:val="21"/>
          <w:szCs w:val="21"/>
        </w:rPr>
        <w:t>口腔的结构损伤</w:t>
      </w:r>
      <w:r>
        <w:rPr>
          <w:sz w:val="21"/>
          <w:szCs w:val="21"/>
        </w:rPr>
        <w:tab/>
      </w:r>
      <w:r>
        <w:rPr>
          <w:sz w:val="21"/>
          <w:szCs w:val="21"/>
        </w:rPr>
        <w:fldChar w:fldCharType="begin"/>
      </w:r>
      <w:r>
        <w:rPr>
          <w:sz w:val="21"/>
          <w:szCs w:val="21"/>
        </w:rPr>
        <w:instrText xml:space="preserve"> PAGEREF _Toc356463476 \h </w:instrText>
      </w:r>
      <w:r>
        <w:rPr>
          <w:sz w:val="21"/>
          <w:szCs w:val="21"/>
        </w:rPr>
        <w:fldChar w:fldCharType="separate"/>
      </w:r>
      <w:r>
        <w:rPr>
          <w:sz w:val="21"/>
          <w:szCs w:val="21"/>
        </w:rPr>
        <w:t>5</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"_Toc356463477" </w:instrText>
      </w:r>
      <w:r>
        <w:fldChar w:fldCharType="separate"/>
      </w:r>
      <w:r>
        <w:rPr>
          <w:rStyle w:val="21"/>
          <w:sz w:val="21"/>
          <w:szCs w:val="21"/>
        </w:rPr>
        <w:t>3.3</w:t>
      </w:r>
      <w:r>
        <w:rPr>
          <w:rFonts w:cs="Times New Roman"/>
          <w:kern w:val="2"/>
          <w:sz w:val="21"/>
          <w:szCs w:val="21"/>
        </w:rPr>
        <w:tab/>
      </w:r>
      <w:r>
        <w:rPr>
          <w:rStyle w:val="21"/>
          <w:rFonts w:hint="eastAsia"/>
          <w:sz w:val="21"/>
          <w:szCs w:val="21"/>
        </w:rPr>
        <w:t>发声和言语的功能障碍</w:t>
      </w:r>
      <w:r>
        <w:rPr>
          <w:sz w:val="21"/>
          <w:szCs w:val="21"/>
        </w:rPr>
        <w:tab/>
      </w:r>
      <w:r>
        <w:rPr>
          <w:sz w:val="21"/>
          <w:szCs w:val="21"/>
        </w:rPr>
        <w:fldChar w:fldCharType="begin"/>
      </w:r>
      <w:r>
        <w:rPr>
          <w:sz w:val="21"/>
          <w:szCs w:val="21"/>
        </w:rPr>
        <w:instrText xml:space="preserve"> PAGEREF _Toc356463477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14"/>
        <w:ind w:left="420"/>
        <w:rPr>
          <w:rFonts w:cs="Times New Roman"/>
          <w:kern w:val="2"/>
          <w:sz w:val="21"/>
          <w:szCs w:val="21"/>
        </w:rPr>
      </w:pPr>
      <w:r>
        <w:fldChar w:fldCharType="begin"/>
      </w:r>
      <w:r>
        <w:instrText xml:space="preserve"> HYPERLINK \l "_Toc356463478" </w:instrText>
      </w:r>
      <w:r>
        <w:fldChar w:fldCharType="separate"/>
      </w:r>
      <w:r>
        <w:rPr>
          <w:rStyle w:val="21"/>
          <w:sz w:val="21"/>
          <w:szCs w:val="21"/>
        </w:rPr>
        <w:t>4</w:t>
      </w:r>
      <w:r>
        <w:rPr>
          <w:rFonts w:cs="Times New Roman"/>
          <w:kern w:val="2"/>
          <w:sz w:val="21"/>
          <w:szCs w:val="21"/>
        </w:rPr>
        <w:tab/>
      </w:r>
      <w:r>
        <w:rPr>
          <w:rStyle w:val="21"/>
          <w:rFonts w:hint="eastAsia"/>
          <w:sz w:val="21"/>
          <w:szCs w:val="21"/>
        </w:rPr>
        <w:t>心血管，免疫和呼吸系统的结构和功能</w:t>
      </w:r>
      <w:r>
        <w:rPr>
          <w:sz w:val="21"/>
          <w:szCs w:val="21"/>
        </w:rPr>
        <w:tab/>
      </w:r>
      <w:r>
        <w:rPr>
          <w:sz w:val="21"/>
          <w:szCs w:val="21"/>
        </w:rPr>
        <w:fldChar w:fldCharType="begin"/>
      </w:r>
      <w:r>
        <w:rPr>
          <w:sz w:val="21"/>
          <w:szCs w:val="21"/>
        </w:rPr>
        <w:instrText xml:space="preserve"> PAGEREF _Toc356463478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"_Toc356463479" </w:instrText>
      </w:r>
      <w:r>
        <w:fldChar w:fldCharType="separate"/>
      </w:r>
      <w:r>
        <w:rPr>
          <w:rStyle w:val="21"/>
          <w:sz w:val="21"/>
          <w:szCs w:val="21"/>
        </w:rPr>
        <w:t>4.1</w:t>
      </w:r>
      <w:r>
        <w:rPr>
          <w:rFonts w:cs="Times New Roman"/>
          <w:kern w:val="2"/>
          <w:sz w:val="21"/>
          <w:szCs w:val="21"/>
        </w:rPr>
        <w:tab/>
      </w:r>
      <w:r>
        <w:rPr>
          <w:rStyle w:val="21"/>
          <w:rFonts w:hint="eastAsia"/>
          <w:sz w:val="21"/>
          <w:szCs w:val="21"/>
        </w:rPr>
        <w:t>心脏的结构损伤或功能障碍</w:t>
      </w:r>
      <w:r>
        <w:rPr>
          <w:sz w:val="21"/>
          <w:szCs w:val="21"/>
        </w:rPr>
        <w:tab/>
      </w:r>
      <w:r>
        <w:rPr>
          <w:sz w:val="21"/>
          <w:szCs w:val="21"/>
        </w:rPr>
        <w:fldChar w:fldCharType="begin"/>
      </w:r>
      <w:r>
        <w:rPr>
          <w:sz w:val="21"/>
          <w:szCs w:val="21"/>
        </w:rPr>
        <w:instrText xml:space="preserve"> PAGEREF _Toc356463479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"_Toc356463480" </w:instrText>
      </w:r>
      <w:r>
        <w:fldChar w:fldCharType="separate"/>
      </w:r>
      <w:r>
        <w:rPr>
          <w:rStyle w:val="21"/>
          <w:sz w:val="21"/>
          <w:szCs w:val="21"/>
        </w:rPr>
        <w:t>4.2</w:t>
      </w:r>
      <w:r>
        <w:rPr>
          <w:rFonts w:cs="Times New Roman"/>
          <w:kern w:val="2"/>
          <w:sz w:val="21"/>
          <w:szCs w:val="21"/>
        </w:rPr>
        <w:tab/>
      </w:r>
      <w:r>
        <w:rPr>
          <w:rStyle w:val="21"/>
          <w:rFonts w:hint="eastAsia"/>
          <w:sz w:val="21"/>
          <w:szCs w:val="21"/>
        </w:rPr>
        <w:t>脾结构损伤</w:t>
      </w:r>
      <w:r>
        <w:rPr>
          <w:sz w:val="21"/>
          <w:szCs w:val="21"/>
        </w:rPr>
        <w:tab/>
      </w:r>
      <w:r>
        <w:rPr>
          <w:sz w:val="21"/>
          <w:szCs w:val="21"/>
        </w:rPr>
        <w:fldChar w:fldCharType="begin"/>
      </w:r>
      <w:r>
        <w:rPr>
          <w:sz w:val="21"/>
          <w:szCs w:val="21"/>
        </w:rPr>
        <w:instrText xml:space="preserve"> PAGEREF _Toc356463480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"_Toc356463481" </w:instrText>
      </w:r>
      <w:r>
        <w:fldChar w:fldCharType="separate"/>
      </w:r>
      <w:r>
        <w:rPr>
          <w:rStyle w:val="21"/>
          <w:sz w:val="21"/>
          <w:szCs w:val="21"/>
        </w:rPr>
        <w:t>4.3</w:t>
      </w:r>
      <w:r>
        <w:rPr>
          <w:rFonts w:cs="Times New Roman"/>
          <w:kern w:val="2"/>
          <w:sz w:val="21"/>
          <w:szCs w:val="21"/>
        </w:rPr>
        <w:tab/>
      </w:r>
      <w:r>
        <w:rPr>
          <w:rStyle w:val="21"/>
          <w:rFonts w:hint="eastAsia"/>
          <w:sz w:val="21"/>
          <w:szCs w:val="21"/>
        </w:rPr>
        <w:t>肺的结构损伤</w:t>
      </w:r>
      <w:r>
        <w:rPr>
          <w:sz w:val="21"/>
          <w:szCs w:val="21"/>
        </w:rPr>
        <w:tab/>
      </w:r>
      <w:r>
        <w:rPr>
          <w:sz w:val="21"/>
          <w:szCs w:val="21"/>
        </w:rPr>
        <w:fldChar w:fldCharType="begin"/>
      </w:r>
      <w:r>
        <w:rPr>
          <w:sz w:val="21"/>
          <w:szCs w:val="21"/>
        </w:rPr>
        <w:instrText xml:space="preserve"> PAGEREF _Toc356463481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"_Toc356463482" </w:instrText>
      </w:r>
      <w:r>
        <w:fldChar w:fldCharType="separate"/>
      </w:r>
      <w:r>
        <w:rPr>
          <w:rStyle w:val="21"/>
          <w:sz w:val="21"/>
          <w:szCs w:val="21"/>
        </w:rPr>
        <w:t>4.4</w:t>
      </w:r>
      <w:r>
        <w:rPr>
          <w:rFonts w:cs="Times New Roman"/>
          <w:kern w:val="2"/>
          <w:sz w:val="21"/>
          <w:szCs w:val="21"/>
        </w:rPr>
        <w:tab/>
      </w:r>
      <w:r>
        <w:rPr>
          <w:rStyle w:val="21"/>
          <w:rFonts w:hint="eastAsia"/>
          <w:sz w:val="21"/>
          <w:szCs w:val="21"/>
        </w:rPr>
        <w:t>胸廓的结构损伤</w:t>
      </w:r>
      <w:r>
        <w:rPr>
          <w:sz w:val="21"/>
          <w:szCs w:val="21"/>
        </w:rPr>
        <w:tab/>
      </w:r>
      <w:r>
        <w:rPr>
          <w:sz w:val="21"/>
          <w:szCs w:val="21"/>
        </w:rPr>
        <w:fldChar w:fldCharType="begin"/>
      </w:r>
      <w:r>
        <w:rPr>
          <w:sz w:val="21"/>
          <w:szCs w:val="21"/>
        </w:rPr>
        <w:instrText xml:space="preserve"> PAGEREF _Toc356463482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14"/>
        <w:ind w:left="420"/>
        <w:rPr>
          <w:rFonts w:cs="Times New Roman"/>
          <w:kern w:val="2"/>
          <w:sz w:val="21"/>
          <w:szCs w:val="21"/>
        </w:rPr>
      </w:pPr>
      <w:r>
        <w:fldChar w:fldCharType="begin"/>
      </w:r>
      <w:r>
        <w:instrText xml:space="preserve"> HYPERLINK \l "_Toc356463483" </w:instrText>
      </w:r>
      <w:r>
        <w:fldChar w:fldCharType="separate"/>
      </w:r>
      <w:r>
        <w:rPr>
          <w:rStyle w:val="21"/>
          <w:sz w:val="21"/>
          <w:szCs w:val="21"/>
        </w:rPr>
        <w:t>5</w:t>
      </w:r>
      <w:r>
        <w:rPr>
          <w:rFonts w:cs="Times New Roman"/>
          <w:kern w:val="2"/>
          <w:sz w:val="21"/>
          <w:szCs w:val="21"/>
        </w:rPr>
        <w:tab/>
      </w:r>
      <w:r>
        <w:rPr>
          <w:rStyle w:val="21"/>
          <w:rFonts w:hint="eastAsia"/>
          <w:sz w:val="21"/>
          <w:szCs w:val="21"/>
        </w:rPr>
        <w:t>消化、代谢和内分泌系统有关的结构和功能</w:t>
      </w:r>
      <w:r>
        <w:rPr>
          <w:sz w:val="21"/>
          <w:szCs w:val="21"/>
        </w:rPr>
        <w:tab/>
      </w:r>
      <w:r>
        <w:rPr>
          <w:sz w:val="21"/>
          <w:szCs w:val="21"/>
        </w:rPr>
        <w:fldChar w:fldCharType="begin"/>
      </w:r>
      <w:r>
        <w:rPr>
          <w:sz w:val="21"/>
          <w:szCs w:val="21"/>
        </w:rPr>
        <w:instrText xml:space="preserve"> PAGEREF _Toc356463483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"_Toc356463484" </w:instrText>
      </w:r>
      <w:r>
        <w:fldChar w:fldCharType="separate"/>
      </w:r>
      <w:r>
        <w:rPr>
          <w:rStyle w:val="21"/>
          <w:sz w:val="21"/>
          <w:szCs w:val="21"/>
        </w:rPr>
        <w:t>5.1</w:t>
      </w:r>
      <w:r>
        <w:rPr>
          <w:rFonts w:cs="Times New Roman"/>
          <w:kern w:val="2"/>
          <w:sz w:val="21"/>
          <w:szCs w:val="21"/>
        </w:rPr>
        <w:tab/>
      </w:r>
      <w:r>
        <w:rPr>
          <w:rStyle w:val="21"/>
          <w:rFonts w:hint="eastAsia"/>
          <w:sz w:val="21"/>
          <w:szCs w:val="21"/>
        </w:rPr>
        <w:t>咀嚼和吞咽功能障碍</w:t>
      </w:r>
      <w:r>
        <w:rPr>
          <w:sz w:val="21"/>
          <w:szCs w:val="21"/>
        </w:rPr>
        <w:tab/>
      </w:r>
      <w:r>
        <w:rPr>
          <w:sz w:val="21"/>
          <w:szCs w:val="21"/>
        </w:rPr>
        <w:fldChar w:fldCharType="begin"/>
      </w:r>
      <w:r>
        <w:rPr>
          <w:sz w:val="21"/>
          <w:szCs w:val="21"/>
        </w:rPr>
        <w:instrText xml:space="preserve"> PAGEREF _Toc356463484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"_Toc356463485" </w:instrText>
      </w:r>
      <w:r>
        <w:fldChar w:fldCharType="separate"/>
      </w:r>
      <w:r>
        <w:rPr>
          <w:rStyle w:val="21"/>
          <w:sz w:val="21"/>
          <w:szCs w:val="21"/>
        </w:rPr>
        <w:t>5.2</w:t>
      </w:r>
      <w:r>
        <w:rPr>
          <w:rFonts w:cs="Times New Roman"/>
          <w:kern w:val="2"/>
          <w:sz w:val="21"/>
          <w:szCs w:val="21"/>
        </w:rPr>
        <w:tab/>
      </w:r>
      <w:r>
        <w:rPr>
          <w:rStyle w:val="21"/>
          <w:rFonts w:hint="eastAsia"/>
          <w:sz w:val="21"/>
          <w:szCs w:val="21"/>
        </w:rPr>
        <w:t>肠的结构损伤</w:t>
      </w:r>
      <w:r>
        <w:rPr>
          <w:sz w:val="21"/>
          <w:szCs w:val="21"/>
        </w:rPr>
        <w:tab/>
      </w:r>
      <w:r>
        <w:rPr>
          <w:sz w:val="21"/>
          <w:szCs w:val="21"/>
        </w:rPr>
        <w:fldChar w:fldCharType="begin"/>
      </w:r>
      <w:r>
        <w:rPr>
          <w:sz w:val="21"/>
          <w:szCs w:val="21"/>
        </w:rPr>
        <w:instrText xml:space="preserve"> PAGEREF _Toc356463485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"_Toc356463486" </w:instrText>
      </w:r>
      <w:r>
        <w:fldChar w:fldCharType="separate"/>
      </w:r>
      <w:r>
        <w:rPr>
          <w:rStyle w:val="21"/>
          <w:sz w:val="21"/>
          <w:szCs w:val="21"/>
        </w:rPr>
        <w:t>5.3</w:t>
      </w:r>
      <w:r>
        <w:rPr>
          <w:rFonts w:cs="Times New Roman"/>
          <w:kern w:val="2"/>
          <w:sz w:val="21"/>
          <w:szCs w:val="21"/>
        </w:rPr>
        <w:tab/>
      </w:r>
      <w:r>
        <w:rPr>
          <w:rStyle w:val="21"/>
          <w:rFonts w:hint="eastAsia"/>
          <w:sz w:val="21"/>
          <w:szCs w:val="21"/>
        </w:rPr>
        <w:t>胃结构损伤</w:t>
      </w:r>
      <w:r>
        <w:rPr>
          <w:sz w:val="21"/>
          <w:szCs w:val="21"/>
        </w:rPr>
        <w:tab/>
      </w:r>
      <w:r>
        <w:rPr>
          <w:sz w:val="21"/>
          <w:szCs w:val="21"/>
        </w:rPr>
        <w:fldChar w:fldCharType="begin"/>
      </w:r>
      <w:r>
        <w:rPr>
          <w:sz w:val="21"/>
          <w:szCs w:val="21"/>
        </w:rPr>
        <w:instrText xml:space="preserve"> PAGEREF _Toc356463486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"_Toc356463487" </w:instrText>
      </w:r>
      <w:r>
        <w:fldChar w:fldCharType="separate"/>
      </w:r>
      <w:r>
        <w:rPr>
          <w:rStyle w:val="21"/>
          <w:sz w:val="21"/>
          <w:szCs w:val="21"/>
        </w:rPr>
        <w:t>5.4</w:t>
      </w:r>
      <w:r>
        <w:rPr>
          <w:rFonts w:cs="Times New Roman"/>
          <w:kern w:val="2"/>
          <w:sz w:val="21"/>
          <w:szCs w:val="21"/>
        </w:rPr>
        <w:tab/>
      </w:r>
      <w:r>
        <w:rPr>
          <w:rStyle w:val="21"/>
          <w:rFonts w:hint="eastAsia"/>
          <w:sz w:val="21"/>
          <w:szCs w:val="21"/>
        </w:rPr>
        <w:t>胰结构损伤或代谢功能障碍</w:t>
      </w:r>
      <w:r>
        <w:rPr>
          <w:sz w:val="21"/>
          <w:szCs w:val="21"/>
        </w:rPr>
        <w:tab/>
      </w:r>
      <w:r>
        <w:rPr>
          <w:sz w:val="21"/>
          <w:szCs w:val="21"/>
        </w:rPr>
        <w:fldChar w:fldCharType="begin"/>
      </w:r>
      <w:r>
        <w:rPr>
          <w:sz w:val="21"/>
          <w:szCs w:val="21"/>
        </w:rPr>
        <w:instrText xml:space="preserve"> PAGEREF _Toc356463487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"_Toc356463488" </w:instrText>
      </w:r>
      <w:r>
        <w:fldChar w:fldCharType="separate"/>
      </w:r>
      <w:r>
        <w:rPr>
          <w:rStyle w:val="21"/>
          <w:sz w:val="21"/>
          <w:szCs w:val="21"/>
        </w:rPr>
        <w:t>5.5</w:t>
      </w:r>
      <w:r>
        <w:rPr>
          <w:rFonts w:cs="Times New Roman"/>
          <w:kern w:val="2"/>
          <w:sz w:val="21"/>
          <w:szCs w:val="21"/>
        </w:rPr>
        <w:tab/>
      </w:r>
      <w:r>
        <w:rPr>
          <w:rStyle w:val="21"/>
          <w:rFonts w:hint="eastAsia"/>
          <w:sz w:val="21"/>
          <w:szCs w:val="21"/>
        </w:rPr>
        <w:t>肝结构损伤</w:t>
      </w:r>
      <w:r>
        <w:rPr>
          <w:sz w:val="21"/>
          <w:szCs w:val="21"/>
        </w:rPr>
        <w:tab/>
      </w:r>
      <w:r>
        <w:rPr>
          <w:sz w:val="21"/>
          <w:szCs w:val="21"/>
        </w:rPr>
        <w:fldChar w:fldCharType="begin"/>
      </w:r>
      <w:r>
        <w:rPr>
          <w:sz w:val="21"/>
          <w:szCs w:val="21"/>
        </w:rPr>
        <w:instrText xml:space="preserve"> PAGEREF _Toc356463488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14"/>
        <w:ind w:left="420"/>
        <w:rPr>
          <w:rFonts w:cs="Times New Roman"/>
          <w:kern w:val="2"/>
          <w:sz w:val="21"/>
          <w:szCs w:val="21"/>
        </w:rPr>
      </w:pPr>
      <w:r>
        <w:fldChar w:fldCharType="begin"/>
      </w:r>
      <w:r>
        <w:instrText xml:space="preserve"> HYPERLINK \l "_Toc356463489" </w:instrText>
      </w:r>
      <w:r>
        <w:fldChar w:fldCharType="separate"/>
      </w:r>
      <w:r>
        <w:rPr>
          <w:rStyle w:val="21"/>
          <w:sz w:val="21"/>
          <w:szCs w:val="21"/>
        </w:rPr>
        <w:t>6</w:t>
      </w:r>
      <w:r>
        <w:rPr>
          <w:rFonts w:cs="Times New Roman"/>
          <w:kern w:val="2"/>
          <w:sz w:val="21"/>
          <w:szCs w:val="21"/>
        </w:rPr>
        <w:tab/>
      </w:r>
      <w:r>
        <w:rPr>
          <w:rStyle w:val="21"/>
          <w:rFonts w:hint="eastAsia"/>
          <w:sz w:val="21"/>
          <w:szCs w:val="21"/>
        </w:rPr>
        <w:t>泌尿和生殖系统有关的结构和功能</w:t>
      </w:r>
      <w:r>
        <w:rPr>
          <w:sz w:val="21"/>
          <w:szCs w:val="21"/>
        </w:rPr>
        <w:tab/>
      </w:r>
      <w:r>
        <w:rPr>
          <w:sz w:val="21"/>
          <w:szCs w:val="21"/>
        </w:rPr>
        <w:fldChar w:fldCharType="begin"/>
      </w:r>
      <w:r>
        <w:rPr>
          <w:sz w:val="21"/>
          <w:szCs w:val="21"/>
        </w:rPr>
        <w:instrText xml:space="preserve"> PAGEREF _Toc356463489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"_Toc356463490" </w:instrText>
      </w:r>
      <w:r>
        <w:fldChar w:fldCharType="separate"/>
      </w:r>
      <w:r>
        <w:rPr>
          <w:rStyle w:val="21"/>
          <w:sz w:val="21"/>
          <w:szCs w:val="21"/>
        </w:rPr>
        <w:t>6.1</w:t>
      </w:r>
      <w:r>
        <w:rPr>
          <w:rFonts w:cs="Times New Roman"/>
          <w:kern w:val="2"/>
          <w:sz w:val="21"/>
          <w:szCs w:val="21"/>
        </w:rPr>
        <w:tab/>
      </w:r>
      <w:r>
        <w:rPr>
          <w:rStyle w:val="21"/>
          <w:rFonts w:hint="eastAsia"/>
          <w:sz w:val="21"/>
          <w:szCs w:val="21"/>
        </w:rPr>
        <w:t>泌尿系统的结构损伤</w:t>
      </w:r>
      <w:r>
        <w:rPr>
          <w:sz w:val="21"/>
          <w:szCs w:val="21"/>
        </w:rPr>
        <w:tab/>
      </w:r>
      <w:r>
        <w:rPr>
          <w:sz w:val="21"/>
          <w:szCs w:val="21"/>
        </w:rPr>
        <w:fldChar w:fldCharType="begin"/>
      </w:r>
      <w:r>
        <w:rPr>
          <w:sz w:val="21"/>
          <w:szCs w:val="21"/>
        </w:rPr>
        <w:instrText xml:space="preserve"> PAGEREF _Toc356463490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"_Toc356463491" </w:instrText>
      </w:r>
      <w:r>
        <w:fldChar w:fldCharType="separate"/>
      </w:r>
      <w:r>
        <w:rPr>
          <w:rStyle w:val="21"/>
          <w:sz w:val="21"/>
          <w:szCs w:val="21"/>
        </w:rPr>
        <w:t>6.2</w:t>
      </w:r>
      <w:r>
        <w:rPr>
          <w:rFonts w:cs="Times New Roman"/>
          <w:kern w:val="2"/>
          <w:sz w:val="21"/>
          <w:szCs w:val="21"/>
        </w:rPr>
        <w:tab/>
      </w:r>
      <w:r>
        <w:rPr>
          <w:rStyle w:val="21"/>
          <w:rFonts w:hint="eastAsia"/>
          <w:sz w:val="21"/>
          <w:szCs w:val="21"/>
        </w:rPr>
        <w:t>生殖系统的结构损伤</w:t>
      </w:r>
      <w:r>
        <w:rPr>
          <w:sz w:val="21"/>
          <w:szCs w:val="21"/>
        </w:rPr>
        <w:tab/>
      </w:r>
      <w:r>
        <w:rPr>
          <w:sz w:val="21"/>
          <w:szCs w:val="21"/>
        </w:rPr>
        <w:fldChar w:fldCharType="begin"/>
      </w:r>
      <w:r>
        <w:rPr>
          <w:sz w:val="21"/>
          <w:szCs w:val="21"/>
        </w:rPr>
        <w:instrText xml:space="preserve"> PAGEREF _Toc356463491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14"/>
        <w:ind w:left="420"/>
        <w:rPr>
          <w:rFonts w:cs="Times New Roman"/>
          <w:kern w:val="2"/>
          <w:sz w:val="21"/>
          <w:szCs w:val="21"/>
        </w:rPr>
      </w:pPr>
      <w:r>
        <w:fldChar w:fldCharType="begin"/>
      </w:r>
      <w:r>
        <w:instrText xml:space="preserve"> HYPERLINK \l "_Toc356463492" </w:instrText>
      </w:r>
      <w:r>
        <w:fldChar w:fldCharType="separate"/>
      </w:r>
      <w:r>
        <w:rPr>
          <w:rStyle w:val="21"/>
          <w:sz w:val="21"/>
          <w:szCs w:val="21"/>
        </w:rPr>
        <w:t>7</w:t>
      </w:r>
      <w:r>
        <w:rPr>
          <w:rFonts w:cs="Times New Roman"/>
          <w:kern w:val="2"/>
          <w:sz w:val="21"/>
          <w:szCs w:val="21"/>
        </w:rPr>
        <w:tab/>
      </w:r>
      <w:r>
        <w:rPr>
          <w:rStyle w:val="21"/>
          <w:rFonts w:hint="eastAsia"/>
          <w:sz w:val="21"/>
          <w:szCs w:val="21"/>
        </w:rPr>
        <w:t>神经肌肉骨骼和运动有关的结构和功能</w:t>
      </w:r>
      <w:r>
        <w:rPr>
          <w:sz w:val="21"/>
          <w:szCs w:val="21"/>
        </w:rPr>
        <w:tab/>
      </w:r>
      <w:r>
        <w:rPr>
          <w:sz w:val="21"/>
          <w:szCs w:val="21"/>
        </w:rPr>
        <w:fldChar w:fldCharType="begin"/>
      </w:r>
      <w:r>
        <w:rPr>
          <w:sz w:val="21"/>
          <w:szCs w:val="21"/>
        </w:rPr>
        <w:instrText xml:space="preserve"> PAGEREF _Toc356463492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"_Toc356463493" </w:instrText>
      </w:r>
      <w:r>
        <w:fldChar w:fldCharType="separate"/>
      </w:r>
      <w:r>
        <w:rPr>
          <w:rStyle w:val="21"/>
          <w:sz w:val="21"/>
          <w:szCs w:val="21"/>
        </w:rPr>
        <w:t>7.1</w:t>
      </w:r>
      <w:r>
        <w:rPr>
          <w:rFonts w:cs="Times New Roman"/>
          <w:kern w:val="2"/>
          <w:sz w:val="21"/>
          <w:szCs w:val="21"/>
        </w:rPr>
        <w:tab/>
      </w:r>
      <w:r>
        <w:rPr>
          <w:rStyle w:val="21"/>
          <w:rFonts w:hint="eastAsia"/>
          <w:sz w:val="21"/>
          <w:szCs w:val="21"/>
        </w:rPr>
        <w:t>头颈部的结构损伤</w:t>
      </w:r>
      <w:r>
        <w:rPr>
          <w:sz w:val="21"/>
          <w:szCs w:val="21"/>
        </w:rPr>
        <w:tab/>
      </w:r>
      <w:r>
        <w:rPr>
          <w:sz w:val="21"/>
          <w:szCs w:val="21"/>
        </w:rPr>
        <w:fldChar w:fldCharType="begin"/>
      </w:r>
      <w:r>
        <w:rPr>
          <w:sz w:val="21"/>
          <w:szCs w:val="21"/>
        </w:rPr>
        <w:instrText xml:space="preserve"> PAGEREF _Toc356463493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"_Toc356463494" </w:instrText>
      </w:r>
      <w:r>
        <w:fldChar w:fldCharType="separate"/>
      </w:r>
      <w:r>
        <w:rPr>
          <w:rStyle w:val="21"/>
          <w:sz w:val="21"/>
          <w:szCs w:val="21"/>
        </w:rPr>
        <w:t>7.2</w:t>
      </w:r>
      <w:r>
        <w:rPr>
          <w:rFonts w:cs="Times New Roman"/>
          <w:kern w:val="2"/>
          <w:sz w:val="21"/>
          <w:szCs w:val="21"/>
        </w:rPr>
        <w:tab/>
      </w:r>
      <w:r>
        <w:rPr>
          <w:rStyle w:val="21"/>
          <w:rFonts w:hint="eastAsia"/>
          <w:sz w:val="21"/>
          <w:szCs w:val="21"/>
        </w:rPr>
        <w:t>头颈部关节功能障碍</w:t>
      </w:r>
      <w:r>
        <w:rPr>
          <w:sz w:val="21"/>
          <w:szCs w:val="21"/>
        </w:rPr>
        <w:tab/>
      </w:r>
      <w:r>
        <w:rPr>
          <w:sz w:val="21"/>
          <w:szCs w:val="21"/>
        </w:rPr>
        <w:fldChar w:fldCharType="begin"/>
      </w:r>
      <w:r>
        <w:rPr>
          <w:sz w:val="21"/>
          <w:szCs w:val="21"/>
        </w:rPr>
        <w:instrText xml:space="preserve"> PAGEREF _Toc356463494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"_Toc356463495" </w:instrText>
      </w:r>
      <w:r>
        <w:fldChar w:fldCharType="separate"/>
      </w:r>
      <w:r>
        <w:rPr>
          <w:rStyle w:val="21"/>
          <w:sz w:val="21"/>
          <w:szCs w:val="21"/>
        </w:rPr>
        <w:t>7.3</w:t>
      </w:r>
      <w:r>
        <w:rPr>
          <w:rFonts w:cs="Times New Roman"/>
          <w:kern w:val="2"/>
          <w:sz w:val="21"/>
          <w:szCs w:val="21"/>
        </w:rPr>
        <w:tab/>
      </w:r>
      <w:r>
        <w:rPr>
          <w:rStyle w:val="21"/>
          <w:rFonts w:hint="eastAsia"/>
          <w:sz w:val="21"/>
          <w:szCs w:val="21"/>
        </w:rPr>
        <w:t>上肢的结构损伤，手功能或关节功能障碍</w:t>
      </w:r>
      <w:r>
        <w:rPr>
          <w:sz w:val="21"/>
          <w:szCs w:val="21"/>
        </w:rPr>
        <w:tab/>
      </w:r>
      <w:r>
        <w:rPr>
          <w:sz w:val="21"/>
          <w:szCs w:val="21"/>
        </w:rPr>
        <w:fldChar w:fldCharType="begin"/>
      </w:r>
      <w:r>
        <w:rPr>
          <w:sz w:val="21"/>
          <w:szCs w:val="21"/>
        </w:rPr>
        <w:instrText xml:space="preserve"> PAGEREF _Toc356463495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"_Toc356463496" </w:instrText>
      </w:r>
      <w:r>
        <w:fldChar w:fldCharType="separate"/>
      </w:r>
      <w:r>
        <w:rPr>
          <w:rStyle w:val="21"/>
          <w:sz w:val="21"/>
          <w:szCs w:val="21"/>
        </w:rPr>
        <w:t>7.4</w:t>
      </w:r>
      <w:r>
        <w:rPr>
          <w:rFonts w:cs="Times New Roman"/>
          <w:kern w:val="2"/>
          <w:sz w:val="21"/>
          <w:szCs w:val="21"/>
        </w:rPr>
        <w:tab/>
      </w:r>
      <w:r>
        <w:rPr>
          <w:rStyle w:val="21"/>
          <w:rFonts w:hint="eastAsia"/>
          <w:sz w:val="21"/>
          <w:szCs w:val="21"/>
        </w:rPr>
        <w:t>骨盆部的结构损伤</w:t>
      </w:r>
      <w:r>
        <w:rPr>
          <w:sz w:val="21"/>
          <w:szCs w:val="21"/>
        </w:rPr>
        <w:tab/>
      </w:r>
      <w:r>
        <w:rPr>
          <w:sz w:val="21"/>
          <w:szCs w:val="21"/>
        </w:rPr>
        <w:fldChar w:fldCharType="begin"/>
      </w:r>
      <w:r>
        <w:rPr>
          <w:sz w:val="21"/>
          <w:szCs w:val="21"/>
        </w:rPr>
        <w:instrText xml:space="preserve"> PAGEREF _Toc356463496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"_Toc356463497" </w:instrText>
      </w:r>
      <w:r>
        <w:fldChar w:fldCharType="separate"/>
      </w:r>
      <w:r>
        <w:rPr>
          <w:rStyle w:val="21"/>
          <w:sz w:val="21"/>
          <w:szCs w:val="21"/>
        </w:rPr>
        <w:t>7.5</w:t>
      </w:r>
      <w:r>
        <w:rPr>
          <w:rFonts w:cs="Times New Roman"/>
          <w:kern w:val="2"/>
          <w:sz w:val="21"/>
          <w:szCs w:val="21"/>
        </w:rPr>
        <w:tab/>
      </w:r>
      <w:r>
        <w:rPr>
          <w:rStyle w:val="21"/>
          <w:rFonts w:hint="eastAsia"/>
          <w:sz w:val="21"/>
          <w:szCs w:val="21"/>
        </w:rPr>
        <w:t>下肢的结构损伤，足功能或关节功能障碍</w:t>
      </w:r>
      <w:r>
        <w:rPr>
          <w:sz w:val="21"/>
          <w:szCs w:val="21"/>
        </w:rPr>
        <w:tab/>
      </w:r>
      <w:r>
        <w:rPr>
          <w:sz w:val="21"/>
          <w:szCs w:val="21"/>
        </w:rPr>
        <w:fldChar w:fldCharType="begin"/>
      </w:r>
      <w:r>
        <w:rPr>
          <w:sz w:val="21"/>
          <w:szCs w:val="21"/>
        </w:rPr>
        <w:instrText xml:space="preserve"> PAGEREF _Toc356463497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"_Toc356463498" </w:instrText>
      </w:r>
      <w:r>
        <w:fldChar w:fldCharType="separate"/>
      </w:r>
      <w:r>
        <w:rPr>
          <w:rStyle w:val="21"/>
          <w:sz w:val="21"/>
          <w:szCs w:val="21"/>
        </w:rPr>
        <w:t>7.6</w:t>
      </w:r>
      <w:r>
        <w:rPr>
          <w:rFonts w:cs="Times New Roman"/>
          <w:kern w:val="2"/>
          <w:sz w:val="21"/>
          <w:szCs w:val="21"/>
        </w:rPr>
        <w:tab/>
      </w:r>
      <w:r>
        <w:rPr>
          <w:rStyle w:val="21"/>
          <w:rFonts w:hint="eastAsia"/>
          <w:sz w:val="21"/>
          <w:szCs w:val="21"/>
        </w:rPr>
        <w:t>四肢的结构损伤，肢体功能或关节功能障碍</w:t>
      </w:r>
      <w:r>
        <w:rPr>
          <w:sz w:val="21"/>
          <w:szCs w:val="21"/>
        </w:rPr>
        <w:tab/>
      </w:r>
      <w:r>
        <w:rPr>
          <w:sz w:val="21"/>
          <w:szCs w:val="21"/>
        </w:rPr>
        <w:fldChar w:fldCharType="begin"/>
      </w:r>
      <w:r>
        <w:rPr>
          <w:sz w:val="21"/>
          <w:szCs w:val="21"/>
        </w:rPr>
        <w:instrText xml:space="preserve"> PAGEREF _Toc356463498 \h </w:instrText>
      </w:r>
      <w:r>
        <w:rPr>
          <w:sz w:val="21"/>
          <w:szCs w:val="21"/>
        </w:rPr>
        <w:fldChar w:fldCharType="separate"/>
      </w:r>
      <w:r>
        <w:rPr>
          <w:sz w:val="21"/>
          <w:szCs w:val="21"/>
        </w:rPr>
        <w:t>10</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"_Toc356463499" </w:instrText>
      </w:r>
      <w:r>
        <w:fldChar w:fldCharType="separate"/>
      </w:r>
      <w:r>
        <w:rPr>
          <w:rStyle w:val="21"/>
          <w:sz w:val="21"/>
          <w:szCs w:val="21"/>
        </w:rPr>
        <w:t>7.7</w:t>
      </w:r>
      <w:r>
        <w:rPr>
          <w:rFonts w:cs="Times New Roman"/>
          <w:kern w:val="2"/>
          <w:sz w:val="21"/>
          <w:szCs w:val="21"/>
        </w:rPr>
        <w:tab/>
      </w:r>
      <w:r>
        <w:rPr>
          <w:rStyle w:val="21"/>
          <w:rFonts w:hint="eastAsia"/>
          <w:sz w:val="21"/>
          <w:szCs w:val="21"/>
        </w:rPr>
        <w:t>脊柱结构损伤和关节活动功能障碍</w:t>
      </w:r>
      <w:r>
        <w:rPr>
          <w:sz w:val="21"/>
          <w:szCs w:val="21"/>
        </w:rPr>
        <w:tab/>
      </w:r>
      <w:r>
        <w:rPr>
          <w:sz w:val="21"/>
          <w:szCs w:val="21"/>
        </w:rPr>
        <w:fldChar w:fldCharType="begin"/>
      </w:r>
      <w:r>
        <w:rPr>
          <w:sz w:val="21"/>
          <w:szCs w:val="21"/>
        </w:rPr>
        <w:instrText xml:space="preserve"> PAGEREF _Toc356463499 \h </w:instrText>
      </w:r>
      <w:r>
        <w:rPr>
          <w:sz w:val="21"/>
          <w:szCs w:val="21"/>
        </w:rPr>
        <w:fldChar w:fldCharType="separate"/>
      </w:r>
      <w:r>
        <w:rPr>
          <w:sz w:val="21"/>
          <w:szCs w:val="21"/>
        </w:rPr>
        <w:t>10</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"_Toc356463500" </w:instrText>
      </w:r>
      <w:r>
        <w:fldChar w:fldCharType="separate"/>
      </w:r>
      <w:r>
        <w:rPr>
          <w:rStyle w:val="21"/>
          <w:sz w:val="21"/>
          <w:szCs w:val="21"/>
        </w:rPr>
        <w:t>7.8</w:t>
      </w:r>
      <w:r>
        <w:rPr>
          <w:rFonts w:cs="Times New Roman"/>
          <w:kern w:val="2"/>
          <w:sz w:val="21"/>
          <w:szCs w:val="21"/>
        </w:rPr>
        <w:tab/>
      </w:r>
      <w:r>
        <w:rPr>
          <w:rStyle w:val="21"/>
          <w:rFonts w:hint="eastAsia"/>
          <w:sz w:val="21"/>
          <w:szCs w:val="21"/>
        </w:rPr>
        <w:t>肌肉力量功能障碍</w:t>
      </w:r>
      <w:r>
        <w:rPr>
          <w:sz w:val="21"/>
          <w:szCs w:val="21"/>
        </w:rPr>
        <w:tab/>
      </w:r>
      <w:r>
        <w:rPr>
          <w:sz w:val="21"/>
          <w:szCs w:val="21"/>
        </w:rPr>
        <w:fldChar w:fldCharType="begin"/>
      </w:r>
      <w:r>
        <w:rPr>
          <w:sz w:val="21"/>
          <w:szCs w:val="21"/>
        </w:rPr>
        <w:instrText xml:space="preserve"> PAGEREF _Toc356463500 \h </w:instrText>
      </w:r>
      <w:r>
        <w:rPr>
          <w:sz w:val="21"/>
          <w:szCs w:val="21"/>
        </w:rPr>
        <w:fldChar w:fldCharType="separate"/>
      </w:r>
      <w:r>
        <w:rPr>
          <w:sz w:val="21"/>
          <w:szCs w:val="21"/>
        </w:rPr>
        <w:t>10</w:t>
      </w:r>
      <w:r>
        <w:rPr>
          <w:sz w:val="21"/>
          <w:szCs w:val="21"/>
        </w:rPr>
        <w:fldChar w:fldCharType="end"/>
      </w:r>
      <w:r>
        <w:rPr>
          <w:sz w:val="21"/>
          <w:szCs w:val="21"/>
        </w:rPr>
        <w:fldChar w:fldCharType="end"/>
      </w:r>
    </w:p>
    <w:p>
      <w:pPr>
        <w:pStyle w:val="14"/>
        <w:ind w:left="420"/>
        <w:rPr>
          <w:rFonts w:cs="Times New Roman"/>
          <w:kern w:val="2"/>
          <w:sz w:val="21"/>
          <w:szCs w:val="21"/>
        </w:rPr>
      </w:pPr>
      <w:r>
        <w:fldChar w:fldCharType="begin"/>
      </w:r>
      <w:r>
        <w:instrText xml:space="preserve"> HYPERLINK \l "_Toc356463501" </w:instrText>
      </w:r>
      <w:r>
        <w:fldChar w:fldCharType="separate"/>
      </w:r>
      <w:r>
        <w:rPr>
          <w:rStyle w:val="21"/>
          <w:sz w:val="21"/>
          <w:szCs w:val="21"/>
        </w:rPr>
        <w:t>8</w:t>
      </w:r>
      <w:r>
        <w:rPr>
          <w:rFonts w:cs="Times New Roman"/>
          <w:kern w:val="2"/>
          <w:sz w:val="21"/>
          <w:szCs w:val="21"/>
        </w:rPr>
        <w:tab/>
      </w:r>
      <w:r>
        <w:rPr>
          <w:rStyle w:val="21"/>
          <w:rFonts w:hint="eastAsia"/>
          <w:sz w:val="21"/>
          <w:szCs w:val="21"/>
        </w:rPr>
        <w:t>皮肤和有关的结构和功能</w:t>
      </w:r>
      <w:r>
        <w:rPr>
          <w:sz w:val="21"/>
          <w:szCs w:val="21"/>
        </w:rPr>
        <w:tab/>
      </w:r>
      <w:r>
        <w:rPr>
          <w:sz w:val="21"/>
          <w:szCs w:val="21"/>
        </w:rPr>
        <w:fldChar w:fldCharType="begin"/>
      </w:r>
      <w:r>
        <w:rPr>
          <w:sz w:val="21"/>
          <w:szCs w:val="21"/>
        </w:rPr>
        <w:instrText xml:space="preserve"> PAGEREF _Toc356463501 \h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"_Toc356463502" </w:instrText>
      </w:r>
      <w:r>
        <w:fldChar w:fldCharType="separate"/>
      </w:r>
      <w:r>
        <w:rPr>
          <w:rStyle w:val="21"/>
          <w:sz w:val="21"/>
          <w:szCs w:val="21"/>
        </w:rPr>
        <w:t>8.1</w:t>
      </w:r>
      <w:r>
        <w:rPr>
          <w:rFonts w:cs="Times New Roman"/>
          <w:kern w:val="2"/>
          <w:sz w:val="21"/>
          <w:szCs w:val="21"/>
        </w:rPr>
        <w:tab/>
      </w:r>
      <w:r>
        <w:rPr>
          <w:rStyle w:val="21"/>
          <w:rFonts w:hint="eastAsia"/>
          <w:sz w:val="21"/>
          <w:szCs w:val="21"/>
        </w:rPr>
        <w:t>头颈部皮肤结构损伤和修复功能障碍</w:t>
      </w:r>
      <w:r>
        <w:rPr>
          <w:sz w:val="21"/>
          <w:szCs w:val="21"/>
        </w:rPr>
        <w:tab/>
      </w:r>
      <w:r>
        <w:rPr>
          <w:sz w:val="21"/>
          <w:szCs w:val="21"/>
        </w:rPr>
        <w:fldChar w:fldCharType="begin"/>
      </w:r>
      <w:r>
        <w:rPr>
          <w:sz w:val="21"/>
          <w:szCs w:val="21"/>
        </w:rPr>
        <w:instrText xml:space="preserve"> PAGEREF _Toc356463502 \h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8"/>
        <w:ind w:left="636" w:firstLine="2" w:firstLineChars="0"/>
        <w:rPr>
          <w:rFonts w:cs="Times New Roman"/>
          <w:kern w:val="2"/>
          <w:sz w:val="21"/>
          <w:szCs w:val="21"/>
        </w:rPr>
      </w:pPr>
      <w:r>
        <w:fldChar w:fldCharType="begin"/>
      </w:r>
      <w:r>
        <w:instrText xml:space="preserve"> HYPERLINK \l "_Toc356463503" </w:instrText>
      </w:r>
      <w:r>
        <w:fldChar w:fldCharType="separate"/>
      </w:r>
      <w:r>
        <w:rPr>
          <w:rStyle w:val="21"/>
          <w:sz w:val="21"/>
          <w:szCs w:val="21"/>
        </w:rPr>
        <w:t>8.2</w:t>
      </w:r>
      <w:r>
        <w:rPr>
          <w:rFonts w:cs="Times New Roman"/>
          <w:kern w:val="2"/>
          <w:sz w:val="21"/>
          <w:szCs w:val="21"/>
        </w:rPr>
        <w:tab/>
      </w:r>
      <w:r>
        <w:rPr>
          <w:rStyle w:val="21"/>
          <w:rFonts w:hint="eastAsia"/>
          <w:sz w:val="21"/>
          <w:szCs w:val="21"/>
        </w:rPr>
        <w:t>各部位皮肤结构损伤和修复功能障碍</w:t>
      </w:r>
      <w:r>
        <w:rPr>
          <w:sz w:val="21"/>
          <w:szCs w:val="21"/>
        </w:rPr>
        <w:tab/>
      </w:r>
      <w:r>
        <w:rPr>
          <w:sz w:val="21"/>
          <w:szCs w:val="21"/>
        </w:rPr>
        <w:fldChar w:fldCharType="begin"/>
      </w:r>
      <w:r>
        <w:rPr>
          <w:sz w:val="21"/>
          <w:szCs w:val="21"/>
        </w:rPr>
        <w:instrText xml:space="preserve"> PAGEREF _Toc356463503 \h </w:instrText>
      </w:r>
      <w:r>
        <w:rPr>
          <w:sz w:val="21"/>
          <w:szCs w:val="21"/>
        </w:rPr>
        <w:fldChar w:fldCharType="separate"/>
      </w:r>
      <w:r>
        <w:rPr>
          <w:sz w:val="21"/>
          <w:szCs w:val="21"/>
        </w:rPr>
        <w:t>12</w:t>
      </w:r>
      <w:r>
        <w:rPr>
          <w:sz w:val="21"/>
          <w:szCs w:val="21"/>
        </w:rPr>
        <w:fldChar w:fldCharType="end"/>
      </w:r>
      <w:r>
        <w:rPr>
          <w:sz w:val="21"/>
          <w:szCs w:val="21"/>
        </w:rPr>
        <w:fldChar w:fldCharType="end"/>
      </w:r>
    </w:p>
    <w:p>
      <w:pPr>
        <w:rPr>
          <w:rFonts w:ascii="宋体" w:hAnsi="宋体"/>
          <w:szCs w:val="21"/>
        </w:rPr>
      </w:pPr>
      <w:r>
        <w:rPr>
          <w:rFonts w:ascii="宋体" w:hAnsi="宋体"/>
          <w:b/>
          <w:bCs/>
          <w:szCs w:val="21"/>
          <w:lang w:val="zh-CN"/>
        </w:rPr>
        <w:fldChar w:fldCharType="end"/>
      </w:r>
    </w:p>
    <w:p>
      <w:pPr>
        <w:pStyle w:val="2"/>
        <w:spacing w:before="0" w:after="0" w:line="240" w:lineRule="auto"/>
        <w:jc w:val="center"/>
        <w:rPr>
          <w:rFonts w:eastAsia="宋体"/>
          <w:sz w:val="21"/>
          <w:szCs w:val="21"/>
        </w:rPr>
        <w:sectPr>
          <w:footerReference r:id="rId6" w:type="first"/>
          <w:footerReference r:id="rId5" w:type="default"/>
          <w:pgSz w:w="11906" w:h="16838"/>
          <w:pgMar w:top="1440" w:right="1797" w:bottom="1440" w:left="1797" w:header="851" w:footer="850" w:gutter="0"/>
          <w:pgNumType w:start="1"/>
          <w:cols w:space="425" w:num="1"/>
          <w:titlePg/>
          <w:docGrid w:type="linesAndChars" w:linePitch="381" w:charSpace="0"/>
        </w:sectPr>
      </w:pPr>
      <w:bookmarkStart w:id="0" w:name="_Toc356463461"/>
    </w:p>
    <w:p>
      <w:pPr>
        <w:pStyle w:val="2"/>
        <w:spacing w:before="0" w:after="0" w:line="240" w:lineRule="auto"/>
        <w:jc w:val="center"/>
        <w:rPr>
          <w:rFonts w:eastAsia="宋体"/>
          <w:sz w:val="21"/>
          <w:szCs w:val="21"/>
        </w:rPr>
      </w:pPr>
      <w:r>
        <w:rPr>
          <w:rFonts w:hint="eastAsia" w:eastAsia="宋体"/>
          <w:sz w:val="21"/>
          <w:szCs w:val="21"/>
        </w:rPr>
        <w:t>前言</w:t>
      </w:r>
      <w:bookmarkEnd w:id="0"/>
    </w:p>
    <w:p>
      <w:pPr>
        <w:ind w:firstLine="420"/>
        <w:contextualSpacing/>
        <w:rPr>
          <w:rFonts w:ascii="宋体" w:hAnsi="宋体"/>
          <w:szCs w:val="21"/>
        </w:rPr>
      </w:pPr>
      <w:r>
        <w:rPr>
          <w:rFonts w:hint="eastAsia" w:ascii="宋体" w:hAnsi="宋体"/>
          <w:szCs w:val="21"/>
        </w:rPr>
        <w:t>根据保险行业业务发展要求，制订本标准。</w:t>
      </w:r>
    </w:p>
    <w:p>
      <w:pPr>
        <w:ind w:firstLine="420"/>
        <w:contextualSpacing/>
        <w:rPr>
          <w:rFonts w:ascii="宋体" w:hAnsi="宋体"/>
          <w:szCs w:val="21"/>
        </w:rPr>
      </w:pPr>
      <w:r>
        <w:rPr>
          <w:rFonts w:hint="eastAsia" w:ascii="宋体" w:hAnsi="宋体"/>
          <w:szCs w:val="21"/>
        </w:rPr>
        <w:t>本标准制定过程中参照世界卫生组织《国际功能、残疾和健康分类》（以下简称“</w:t>
      </w:r>
      <w:r>
        <w:rPr>
          <w:rFonts w:ascii="宋体" w:hAnsi="宋体"/>
          <w:szCs w:val="21"/>
        </w:rPr>
        <w:t>ICF”）的理论与方法，建立新的残疾标准的理论架构、术语体系和分类方法。</w:t>
      </w:r>
    </w:p>
    <w:p>
      <w:pPr>
        <w:ind w:firstLine="420"/>
        <w:contextualSpacing/>
        <w:rPr>
          <w:rFonts w:ascii="宋体" w:hAnsi="宋体"/>
          <w:szCs w:val="21"/>
        </w:rPr>
      </w:pPr>
      <w:r>
        <w:rPr>
          <w:rFonts w:hint="eastAsia" w:ascii="宋体" w:hAnsi="宋体"/>
          <w:szCs w:val="21"/>
        </w:rPr>
        <w:t>本标准制定过程中参考了国内重要的伤残评定标准，如《劳动能力鉴定，职工工伤与职业病致残等级》、《道路交通事故受伤人员伤残评定》等，符合国内相关的残疾政策，同时参考了国际上其他国家地区的伤残分级原则和标准。</w:t>
      </w:r>
    </w:p>
    <w:p>
      <w:pPr>
        <w:ind w:firstLine="420"/>
        <w:contextualSpacing/>
        <w:rPr>
          <w:rFonts w:ascii="宋体" w:hAnsi="宋体"/>
          <w:szCs w:val="21"/>
        </w:rPr>
      </w:pPr>
      <w:r>
        <w:rPr>
          <w:rFonts w:hint="eastAsia" w:ascii="宋体" w:hAnsi="宋体"/>
          <w:szCs w:val="21"/>
        </w:rPr>
        <w:t>本标准建立了保险行业人身保险伤残评定和保险金给付比例的基础，各保险公司应根据自身的业务特点，根据本标准的方法、内容和结构，开发保险产品，提供保险服务。</w:t>
      </w:r>
    </w:p>
    <w:p>
      <w:pPr>
        <w:ind w:firstLine="420"/>
        <w:contextualSpacing/>
        <w:rPr>
          <w:rFonts w:ascii="宋体" w:hAnsi="宋体"/>
          <w:szCs w:val="21"/>
        </w:rPr>
      </w:pPr>
      <w:r>
        <w:rPr>
          <w:rFonts w:hint="eastAsia" w:ascii="宋体" w:hAnsi="宋体"/>
          <w:szCs w:val="21"/>
        </w:rPr>
        <w:t>本标准负责起草单位：中国保险行业协会。</w:t>
      </w:r>
    </w:p>
    <w:p>
      <w:pPr>
        <w:ind w:firstLine="420"/>
        <w:contextualSpacing/>
        <w:rPr>
          <w:rFonts w:ascii="宋体" w:hAnsi="宋体"/>
          <w:szCs w:val="21"/>
        </w:rPr>
      </w:pPr>
      <w:r>
        <w:rPr>
          <w:rFonts w:hint="eastAsia" w:ascii="宋体" w:hAnsi="宋体"/>
          <w:szCs w:val="21"/>
        </w:rPr>
        <w:t>本标准规定了人身保险伤残程度的评定等级以及保险金给付比例的原则和方法，人身保险伤残程度分为一至十级，保险金给付比例分为100%至10%。</w:t>
      </w:r>
    </w:p>
    <w:p>
      <w:pPr>
        <w:ind w:firstLine="420"/>
        <w:contextualSpacing/>
        <w:rPr>
          <w:rFonts w:ascii="宋体" w:hAnsi="宋体"/>
          <w:szCs w:val="21"/>
        </w:rPr>
      </w:pPr>
    </w:p>
    <w:p>
      <w:pPr>
        <w:contextualSpacing/>
        <w:rPr>
          <w:rFonts w:ascii="宋体" w:hAnsi="宋体"/>
          <w:b/>
          <w:szCs w:val="21"/>
        </w:rPr>
      </w:pPr>
      <w:r>
        <w:rPr>
          <w:rFonts w:ascii="宋体" w:hAnsi="宋体"/>
          <w:b/>
          <w:szCs w:val="21"/>
        </w:rPr>
        <w:t xml:space="preserve">1 </w:t>
      </w:r>
      <w:r>
        <w:rPr>
          <w:rFonts w:hint="eastAsia" w:ascii="宋体" w:hAnsi="宋体"/>
          <w:b/>
          <w:szCs w:val="21"/>
        </w:rPr>
        <w:t>适用范围</w:t>
      </w:r>
    </w:p>
    <w:p>
      <w:pPr>
        <w:ind w:firstLine="420"/>
        <w:contextualSpacing/>
        <w:rPr>
          <w:rFonts w:ascii="宋体" w:hAnsi="宋体"/>
          <w:szCs w:val="21"/>
        </w:rPr>
      </w:pPr>
      <w:r>
        <w:rPr>
          <w:rFonts w:hint="eastAsia" w:ascii="宋体" w:hAnsi="宋体"/>
          <w:szCs w:val="21"/>
        </w:rPr>
        <w:t>本标准适用于意外险产品或包括意外责任的保险产品中的伤残保障，用于评定由于意外伤害因素引起的伤残程度。</w:t>
      </w:r>
    </w:p>
    <w:p>
      <w:pPr>
        <w:ind w:firstLine="420"/>
        <w:contextualSpacing/>
        <w:rPr>
          <w:rFonts w:ascii="宋体" w:hAnsi="宋体"/>
          <w:szCs w:val="21"/>
        </w:rPr>
      </w:pPr>
    </w:p>
    <w:p>
      <w:pPr>
        <w:contextualSpacing/>
        <w:rPr>
          <w:rFonts w:ascii="宋体" w:hAnsi="宋体"/>
          <w:b/>
          <w:szCs w:val="21"/>
        </w:rPr>
      </w:pPr>
      <w:r>
        <w:rPr>
          <w:rFonts w:ascii="宋体" w:hAnsi="宋体"/>
          <w:b/>
          <w:szCs w:val="21"/>
        </w:rPr>
        <w:t xml:space="preserve">2 </w:t>
      </w:r>
      <w:r>
        <w:rPr>
          <w:rFonts w:hint="eastAsia" w:ascii="宋体" w:hAnsi="宋体"/>
          <w:b/>
          <w:szCs w:val="21"/>
        </w:rPr>
        <w:t>术语和定义</w:t>
      </w:r>
    </w:p>
    <w:p>
      <w:pPr>
        <w:ind w:firstLine="420"/>
        <w:contextualSpacing/>
        <w:rPr>
          <w:rFonts w:ascii="宋体" w:hAnsi="宋体"/>
          <w:szCs w:val="21"/>
        </w:rPr>
      </w:pPr>
      <w:r>
        <w:rPr>
          <w:rFonts w:ascii="宋体" w:hAnsi="宋体"/>
          <w:szCs w:val="21"/>
        </w:rPr>
        <w:t>下列术语和定义适用于本标准。</w:t>
      </w:r>
    </w:p>
    <w:p>
      <w:pPr>
        <w:contextualSpacing/>
        <w:rPr>
          <w:rFonts w:ascii="宋体" w:hAnsi="宋体"/>
          <w:szCs w:val="21"/>
        </w:rPr>
      </w:pPr>
      <w:r>
        <w:rPr>
          <w:rFonts w:ascii="宋体" w:hAnsi="宋体"/>
          <w:szCs w:val="21"/>
        </w:rPr>
        <w:t xml:space="preserve">2.1 </w:t>
      </w:r>
      <w:r>
        <w:rPr>
          <w:rFonts w:hint="eastAsia" w:ascii="宋体" w:hAnsi="宋体"/>
          <w:szCs w:val="21"/>
        </w:rPr>
        <w:t>伤残：因意外伤害损伤所致的人体残疾。</w:t>
      </w:r>
    </w:p>
    <w:p>
      <w:pPr>
        <w:contextualSpacing/>
        <w:rPr>
          <w:rFonts w:ascii="宋体" w:hAnsi="宋体"/>
          <w:szCs w:val="21"/>
        </w:rPr>
      </w:pPr>
      <w:r>
        <w:rPr>
          <w:rFonts w:ascii="宋体" w:hAnsi="宋体"/>
          <w:szCs w:val="21"/>
        </w:rPr>
        <w:t>2.</w:t>
      </w:r>
      <w:r>
        <w:rPr>
          <w:rFonts w:hint="eastAsia" w:ascii="宋体" w:hAnsi="宋体"/>
          <w:szCs w:val="21"/>
        </w:rPr>
        <w:t>2</w:t>
      </w:r>
      <w:r>
        <w:rPr>
          <w:rFonts w:ascii="宋体" w:hAnsi="宋体"/>
          <w:szCs w:val="21"/>
        </w:rPr>
        <w:t xml:space="preserve"> </w:t>
      </w:r>
      <w:r>
        <w:rPr>
          <w:rFonts w:hint="eastAsia" w:ascii="宋体" w:hAnsi="宋体"/>
          <w:szCs w:val="21"/>
        </w:rPr>
        <w:t>身体结构：指身体的解剖部位，如器官、肢体及其组成部分。</w:t>
      </w:r>
    </w:p>
    <w:p>
      <w:pPr>
        <w:contextualSpacing/>
        <w:rPr>
          <w:rFonts w:ascii="宋体" w:hAnsi="宋体"/>
          <w:szCs w:val="21"/>
        </w:rPr>
      </w:pPr>
      <w:r>
        <w:rPr>
          <w:rFonts w:ascii="宋体" w:hAnsi="宋体"/>
          <w:szCs w:val="21"/>
        </w:rPr>
        <w:t>2.</w:t>
      </w:r>
      <w:r>
        <w:rPr>
          <w:rFonts w:hint="eastAsia" w:ascii="宋体" w:hAnsi="宋体"/>
          <w:szCs w:val="21"/>
        </w:rPr>
        <w:t>3</w:t>
      </w:r>
      <w:r>
        <w:rPr>
          <w:rFonts w:ascii="宋体" w:hAnsi="宋体"/>
          <w:szCs w:val="21"/>
        </w:rPr>
        <w:t xml:space="preserve"> </w:t>
      </w:r>
      <w:r>
        <w:rPr>
          <w:rFonts w:hint="eastAsia" w:ascii="宋体" w:hAnsi="宋体"/>
          <w:szCs w:val="21"/>
        </w:rPr>
        <w:t>身体功能：指身体各系统的生理功能。</w:t>
      </w:r>
    </w:p>
    <w:p>
      <w:pPr>
        <w:ind w:firstLine="420"/>
        <w:contextualSpacing/>
        <w:rPr>
          <w:rFonts w:ascii="宋体" w:hAnsi="宋体"/>
          <w:szCs w:val="21"/>
        </w:rPr>
      </w:pPr>
    </w:p>
    <w:p>
      <w:pPr>
        <w:contextualSpacing/>
        <w:rPr>
          <w:rFonts w:ascii="宋体" w:hAnsi="宋体"/>
          <w:b/>
          <w:szCs w:val="21"/>
        </w:rPr>
      </w:pPr>
      <w:r>
        <w:rPr>
          <w:rFonts w:ascii="宋体" w:hAnsi="宋体"/>
          <w:b/>
          <w:szCs w:val="21"/>
        </w:rPr>
        <w:t xml:space="preserve">3 </w:t>
      </w:r>
      <w:r>
        <w:rPr>
          <w:rFonts w:hint="eastAsia" w:ascii="宋体" w:hAnsi="宋体"/>
          <w:b/>
          <w:szCs w:val="21"/>
        </w:rPr>
        <w:t>标准的内容和结构</w:t>
      </w:r>
    </w:p>
    <w:p>
      <w:pPr>
        <w:ind w:firstLine="420"/>
        <w:contextualSpacing/>
        <w:rPr>
          <w:rFonts w:ascii="宋体" w:hAnsi="宋体"/>
          <w:szCs w:val="21"/>
        </w:rPr>
      </w:pPr>
      <w:r>
        <w:rPr>
          <w:rFonts w:hint="eastAsia" w:ascii="宋体" w:hAnsi="宋体"/>
          <w:szCs w:val="21"/>
        </w:rPr>
        <w:t>本标准参照</w:t>
      </w:r>
      <w:r>
        <w:rPr>
          <w:rFonts w:ascii="宋体" w:hAnsi="宋体"/>
          <w:szCs w:val="21"/>
        </w:rPr>
        <w:t>ICF有关功能和残疾的分类理论与方法，</w:t>
      </w:r>
      <w:r>
        <w:rPr>
          <w:rFonts w:hint="eastAsia" w:ascii="宋体" w:hAnsi="宋体"/>
          <w:szCs w:val="21"/>
        </w:rPr>
        <w:t>建立“神经系统的结构和精神功能”、“眼，耳和有关的结构和功能”、“发声和言语的结构和功能”、“心血管，免疫和呼吸系统的结构和功能”、“消化、代谢和内分泌系统有关的结构和功能”、“泌尿和生殖系统有关的结构和功能”、“神经肌肉骨骼和运动有关的结构和功能”和“皮肤和有关的结构和功能” 8大类，共281项人身保险伤残条目。</w:t>
      </w:r>
    </w:p>
    <w:p>
      <w:pPr>
        <w:ind w:firstLine="420"/>
        <w:contextualSpacing/>
        <w:rPr>
          <w:rFonts w:ascii="宋体" w:hAnsi="宋体"/>
          <w:szCs w:val="21"/>
        </w:rPr>
      </w:pPr>
      <w:r>
        <w:rPr>
          <w:rFonts w:hint="eastAsia" w:ascii="宋体" w:hAnsi="宋体"/>
          <w:szCs w:val="21"/>
        </w:rPr>
        <w:t>本标准对功能和残疾进行了分类和分级，将人身保险伤残程度划分为一至十级，最重为第一级</w:t>
      </w:r>
      <w:r>
        <w:rPr>
          <w:rFonts w:ascii="宋体" w:hAnsi="宋体"/>
          <w:szCs w:val="21"/>
        </w:rPr>
        <w:t>，最轻为第十级</w:t>
      </w:r>
      <w:r>
        <w:rPr>
          <w:rFonts w:hint="eastAsia" w:ascii="宋体" w:hAnsi="宋体"/>
          <w:szCs w:val="21"/>
        </w:rPr>
        <w:t>。</w:t>
      </w:r>
    </w:p>
    <w:p>
      <w:pPr>
        <w:ind w:firstLine="420"/>
        <w:contextualSpacing/>
        <w:rPr>
          <w:rFonts w:ascii="宋体" w:hAnsi="宋体"/>
          <w:szCs w:val="21"/>
        </w:rPr>
      </w:pPr>
      <w:r>
        <w:rPr>
          <w:rFonts w:hint="eastAsia" w:ascii="宋体" w:hAnsi="宋体"/>
          <w:szCs w:val="21"/>
        </w:rPr>
        <w:t>与人身保险伤残程度等级相对应的保险金给付比例分为十档，伤残程度第一级对应的保险金给付比例为100%，伤残程度第十级对应的保险金给付比例为10%，</w:t>
      </w:r>
      <w:r>
        <w:rPr>
          <w:rFonts w:ascii="宋体" w:hAnsi="宋体"/>
          <w:szCs w:val="21"/>
        </w:rPr>
        <w:t>每级相差10%。</w:t>
      </w:r>
    </w:p>
    <w:p>
      <w:pPr>
        <w:ind w:firstLine="420"/>
        <w:contextualSpacing/>
        <w:rPr>
          <w:rFonts w:ascii="宋体" w:hAnsi="宋体"/>
          <w:szCs w:val="21"/>
        </w:rPr>
      </w:pPr>
    </w:p>
    <w:p>
      <w:pPr>
        <w:contextualSpacing/>
        <w:rPr>
          <w:rFonts w:ascii="宋体" w:hAnsi="宋体"/>
          <w:b/>
          <w:szCs w:val="21"/>
        </w:rPr>
      </w:pPr>
      <w:r>
        <w:rPr>
          <w:rFonts w:ascii="宋体" w:hAnsi="宋体"/>
          <w:b/>
          <w:szCs w:val="21"/>
        </w:rPr>
        <w:t xml:space="preserve">4 </w:t>
      </w:r>
      <w:r>
        <w:rPr>
          <w:rFonts w:hint="eastAsia" w:ascii="宋体" w:hAnsi="宋体"/>
          <w:b/>
          <w:szCs w:val="21"/>
        </w:rPr>
        <w:t>伤残的评定原则</w:t>
      </w:r>
    </w:p>
    <w:p>
      <w:pPr>
        <w:rPr>
          <w:rFonts w:ascii="宋体" w:hAnsi="宋体"/>
          <w:szCs w:val="21"/>
        </w:rPr>
      </w:pPr>
      <w:r>
        <w:rPr>
          <w:rFonts w:hint="eastAsia" w:ascii="宋体" w:hAnsi="宋体"/>
          <w:szCs w:val="21"/>
        </w:rPr>
        <w:t>4.1 确定伤残类别：评定伤残时，应根据人体的身体结构与功能损伤情况确定所涉及的伤残类别。</w:t>
      </w:r>
    </w:p>
    <w:p>
      <w:pPr>
        <w:rPr>
          <w:rFonts w:ascii="宋体" w:hAnsi="宋体"/>
          <w:szCs w:val="21"/>
        </w:rPr>
      </w:pPr>
      <w:r>
        <w:rPr>
          <w:rFonts w:hint="eastAsia" w:ascii="宋体" w:hAnsi="宋体"/>
          <w:szCs w:val="21"/>
        </w:rPr>
        <w:t>4.2 确定伤残等级：应根据伤残情况，在同类别伤残下，确定伤残等级。</w:t>
      </w:r>
    </w:p>
    <w:p>
      <w:pPr>
        <w:rPr>
          <w:rFonts w:ascii="宋体" w:hAnsi="宋体"/>
          <w:szCs w:val="21"/>
        </w:rPr>
      </w:pPr>
      <w:r>
        <w:rPr>
          <w:rFonts w:hint="eastAsia" w:ascii="宋体" w:hAnsi="宋体"/>
          <w:szCs w:val="21"/>
        </w:rPr>
        <w:t>4.3 确定保险金给付比例：应根据伤残等级对应的百分比，确定保险金给付比例。</w:t>
      </w:r>
    </w:p>
    <w:p>
      <w:pPr>
        <w:contextualSpacing/>
        <w:rPr>
          <w:rFonts w:ascii="宋体" w:hAnsi="宋体"/>
          <w:szCs w:val="21"/>
        </w:rPr>
      </w:pPr>
      <w:r>
        <w:rPr>
          <w:rFonts w:ascii="宋体" w:hAnsi="宋体"/>
          <w:szCs w:val="21"/>
        </w:rPr>
        <w:t>4.</w:t>
      </w:r>
      <w:r>
        <w:rPr>
          <w:rFonts w:hint="eastAsia" w:ascii="宋体" w:hAnsi="宋体"/>
          <w:szCs w:val="21"/>
        </w:rPr>
        <w:t>4</w:t>
      </w:r>
      <w:r>
        <w:rPr>
          <w:rFonts w:ascii="宋体" w:hAnsi="宋体"/>
          <w:szCs w:val="21"/>
        </w:rPr>
        <w:t xml:space="preserve"> </w:t>
      </w:r>
      <w:r>
        <w:rPr>
          <w:rFonts w:hint="eastAsia" w:ascii="宋体" w:hAnsi="宋体"/>
          <w:szCs w:val="21"/>
        </w:rPr>
        <w:t>多处伤残的评定原则：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本标准条文两条以上或者同一条文两次以上进行评定。</w:t>
      </w:r>
    </w:p>
    <w:p>
      <w:pPr>
        <w:ind w:firstLine="420"/>
        <w:contextualSpacing/>
        <w:rPr>
          <w:rFonts w:ascii="宋体" w:hAnsi="宋体"/>
          <w:szCs w:val="21"/>
        </w:rPr>
      </w:pPr>
    </w:p>
    <w:p>
      <w:pPr>
        <w:contextualSpacing/>
        <w:rPr>
          <w:rFonts w:ascii="宋体" w:hAnsi="宋体"/>
          <w:b/>
          <w:szCs w:val="21"/>
        </w:rPr>
      </w:pPr>
      <w:r>
        <w:rPr>
          <w:rFonts w:ascii="宋体" w:hAnsi="宋体"/>
          <w:b/>
          <w:szCs w:val="21"/>
        </w:rPr>
        <w:t xml:space="preserve">5 </w:t>
      </w:r>
      <w:r>
        <w:rPr>
          <w:rFonts w:hint="eastAsia" w:ascii="宋体" w:hAnsi="宋体"/>
          <w:b/>
          <w:szCs w:val="21"/>
        </w:rPr>
        <w:t>说明</w:t>
      </w:r>
    </w:p>
    <w:p>
      <w:pPr>
        <w:ind w:firstLine="420"/>
        <w:contextualSpacing/>
        <w:rPr>
          <w:rFonts w:ascii="宋体" w:hAnsi="宋体"/>
          <w:szCs w:val="21"/>
        </w:rPr>
      </w:pPr>
      <w:r>
        <w:rPr>
          <w:rFonts w:hint="eastAsia" w:ascii="宋体" w:hAnsi="宋体"/>
          <w:szCs w:val="21"/>
        </w:rPr>
        <w:t>本标准中“以上”均包括本数值或本部位。</w:t>
      </w:r>
    </w:p>
    <w:p>
      <w:pPr>
        <w:contextualSpacing/>
        <w:rPr>
          <w:rFonts w:ascii="宋体" w:hAnsi="宋体"/>
          <w:szCs w:val="21"/>
        </w:rPr>
      </w:pPr>
    </w:p>
    <w:p>
      <w:pPr>
        <w:contextualSpacing/>
        <w:rPr>
          <w:rFonts w:ascii="宋体" w:hAnsi="宋体"/>
          <w:szCs w:val="21"/>
        </w:rPr>
      </w:pPr>
    </w:p>
    <w:p>
      <w:pPr>
        <w:contextualSpacing/>
        <w:rPr>
          <w:rFonts w:ascii="宋体" w:hAnsi="宋体"/>
          <w:szCs w:val="21"/>
        </w:rPr>
      </w:pPr>
    </w:p>
    <w:p>
      <w:pPr>
        <w:contextualSpacing/>
        <w:rPr>
          <w:rFonts w:ascii="宋体" w:hAnsi="宋体"/>
          <w:szCs w:val="21"/>
        </w:rPr>
      </w:pPr>
    </w:p>
    <w:p>
      <w:pPr>
        <w:contextualSpacing/>
        <w:rPr>
          <w:rFonts w:ascii="宋体" w:hAnsi="宋体"/>
          <w:szCs w:val="21"/>
        </w:rPr>
      </w:pPr>
    </w:p>
    <w:p>
      <w:pPr>
        <w:rPr>
          <w:rFonts w:ascii="宋体" w:hAnsi="宋体"/>
          <w:szCs w:val="21"/>
        </w:rPr>
      </w:pPr>
      <w:r>
        <w:rPr>
          <w:rFonts w:ascii="宋体" w:hAnsi="宋体"/>
          <w:szCs w:val="21"/>
        </w:rPr>
        <w:br w:type="page"/>
      </w:r>
    </w:p>
    <w:p>
      <w:pPr>
        <w:pStyle w:val="2"/>
        <w:spacing w:before="0" w:after="0" w:line="240" w:lineRule="auto"/>
        <w:jc w:val="center"/>
        <w:rPr>
          <w:rFonts w:eastAsia="宋体"/>
          <w:sz w:val="21"/>
          <w:szCs w:val="21"/>
        </w:rPr>
      </w:pPr>
      <w:bookmarkStart w:id="1" w:name="_Toc356463462"/>
      <w:r>
        <w:rPr>
          <w:rFonts w:hint="eastAsia" w:eastAsia="宋体"/>
          <w:sz w:val="21"/>
          <w:szCs w:val="21"/>
        </w:rPr>
        <w:t>人身保险伤残评定标准（行业标准）</w:t>
      </w:r>
      <w:bookmarkEnd w:id="1"/>
    </w:p>
    <w:p>
      <w:pPr>
        <w:rPr>
          <w:rFonts w:ascii="宋体" w:hAnsi="宋体"/>
          <w:szCs w:val="21"/>
        </w:rPr>
      </w:pPr>
      <w:r>
        <w:rPr>
          <w:rFonts w:hint="eastAsia" w:ascii="宋体" w:hAnsi="宋体"/>
          <w:szCs w:val="21"/>
        </w:rPr>
        <w:t>说明：本标准对功能和残疾进行了分类和分级，将人身保险伤残程度划分为一至十级，最重为第一级，最轻为第十级。与人身保险伤残程度等级相对应的保险金给付比例分为十档，伤残程度第一级对应的保险金给付比例为</w:t>
      </w:r>
      <w:r>
        <w:rPr>
          <w:rFonts w:ascii="宋体" w:hAnsi="宋体"/>
          <w:szCs w:val="21"/>
        </w:rPr>
        <w:t>100%，伤残程度第十级对应的保险金给付比例为10%，每级相差10%。</w:t>
      </w:r>
    </w:p>
    <w:p>
      <w:pPr>
        <w:ind w:firstLine="420"/>
        <w:contextualSpacing/>
        <w:rPr>
          <w:rFonts w:ascii="宋体" w:hAnsi="宋体"/>
          <w:szCs w:val="21"/>
        </w:rPr>
      </w:pPr>
    </w:p>
    <w:p>
      <w:pPr>
        <w:pStyle w:val="3"/>
        <w:numPr>
          <w:ilvl w:val="0"/>
          <w:numId w:val="1"/>
        </w:numPr>
        <w:contextualSpacing/>
        <w:rPr>
          <w:rFonts w:ascii="宋体" w:hAnsi="宋体"/>
          <w:sz w:val="21"/>
          <w:szCs w:val="21"/>
        </w:rPr>
      </w:pPr>
      <w:bookmarkStart w:id="2" w:name="_Toc356463463"/>
      <w:r>
        <w:rPr>
          <w:rFonts w:hint="eastAsia" w:ascii="宋体" w:hAnsi="宋体"/>
          <w:sz w:val="21"/>
          <w:szCs w:val="21"/>
        </w:rPr>
        <w:t>神经系统的结构和精神功能</w:t>
      </w:r>
      <w:bookmarkEnd w:id="2"/>
    </w:p>
    <w:p>
      <w:pPr>
        <w:pStyle w:val="4"/>
        <w:numPr>
          <w:ilvl w:val="1"/>
          <w:numId w:val="1"/>
        </w:numPr>
        <w:ind w:left="0" w:firstLine="0"/>
        <w:contextualSpacing/>
        <w:rPr>
          <w:sz w:val="21"/>
          <w:szCs w:val="21"/>
        </w:rPr>
      </w:pPr>
      <w:bookmarkStart w:id="3" w:name="_Toc356463464"/>
      <w:r>
        <w:rPr>
          <w:rFonts w:hint="eastAsia"/>
          <w:sz w:val="21"/>
          <w:szCs w:val="21"/>
        </w:rPr>
        <w:t>脑膜的结构损伤</w:t>
      </w:r>
      <w:bookmarkEnd w:id="3"/>
    </w:p>
    <w:p>
      <w:pPr>
        <w:ind w:firstLine="420"/>
        <w:contextualSpacing/>
        <w:rPr>
          <w:rFonts w:ascii="宋体" w:hAnsi="宋体"/>
          <w:szCs w:val="21"/>
        </w:rPr>
      </w:pPr>
    </w:p>
    <w:tbl>
      <w:tblPr>
        <w:tblStyle w:val="18"/>
        <w:tblW w:w="8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20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外伤性脑脊液鼻漏或耳漏</w:t>
            </w:r>
          </w:p>
        </w:tc>
        <w:tc>
          <w:tcPr>
            <w:tcW w:w="1060" w:type="dxa"/>
            <w:shd w:val="clear" w:color="auto" w:fill="auto"/>
            <w:vAlign w:val="center"/>
          </w:tcPr>
          <w:p>
            <w:pPr>
              <w:pStyle w:val="46"/>
              <w:rPr>
                <w:rFonts w:cs="宋体"/>
                <w:color w:val="000000"/>
                <w:sz w:val="21"/>
                <w:szCs w:val="21"/>
                <w:lang w:val="en-US" w:eastAsia="zh-CN"/>
              </w:rPr>
            </w:pPr>
            <w:r>
              <w:rPr>
                <w:rFonts w:cs="宋体"/>
                <w:color w:val="000000"/>
                <w:sz w:val="21"/>
                <w:szCs w:val="21"/>
                <w:lang w:val="en-US" w:eastAsia="zh-CN"/>
              </w:rPr>
              <w:t>10级</w:t>
            </w:r>
          </w:p>
        </w:tc>
      </w:tr>
    </w:tbl>
    <w:p>
      <w:pPr>
        <w:ind w:firstLine="420"/>
        <w:contextualSpacing/>
        <w:rPr>
          <w:rFonts w:ascii="宋体" w:hAnsi="宋体"/>
          <w:szCs w:val="21"/>
        </w:rPr>
      </w:pPr>
    </w:p>
    <w:p>
      <w:pPr>
        <w:pStyle w:val="4"/>
        <w:numPr>
          <w:ilvl w:val="1"/>
          <w:numId w:val="1"/>
        </w:numPr>
        <w:ind w:left="0" w:firstLine="0"/>
        <w:contextualSpacing/>
        <w:rPr>
          <w:sz w:val="21"/>
          <w:szCs w:val="21"/>
        </w:rPr>
      </w:pPr>
      <w:bookmarkStart w:id="4" w:name="_Toc356463465"/>
      <w:r>
        <w:rPr>
          <w:rFonts w:hint="eastAsia"/>
          <w:sz w:val="21"/>
          <w:szCs w:val="21"/>
        </w:rPr>
        <w:t>脑的结构损伤，智力功能障碍</w:t>
      </w:r>
      <w:bookmarkEnd w:id="4"/>
    </w:p>
    <w:p>
      <w:pPr>
        <w:ind w:firstLine="420"/>
        <w:contextualSpacing/>
        <w:rPr>
          <w:rFonts w:ascii="宋体" w:hAnsi="宋体"/>
          <w:szCs w:val="21"/>
        </w:rPr>
      </w:pPr>
    </w:p>
    <w:tbl>
      <w:tblPr>
        <w:tblStyle w:val="18"/>
        <w:tblW w:w="8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5" w:type="dxa"/>
            <w:shd w:val="clear" w:color="auto" w:fill="auto"/>
          </w:tcPr>
          <w:p>
            <w:pPr>
              <w:pStyle w:val="46"/>
              <w:rPr>
                <w:rFonts w:cs="宋体"/>
                <w:sz w:val="21"/>
                <w:szCs w:val="21"/>
                <w:lang w:val="en-US" w:eastAsia="zh-CN"/>
              </w:rPr>
            </w:pPr>
            <w:r>
              <w:rPr>
                <w:rFonts w:hint="eastAsia" w:cs="宋体"/>
                <w:sz w:val="21"/>
                <w:szCs w:val="21"/>
                <w:lang w:val="en-US" w:eastAsia="zh-CN"/>
              </w:rPr>
              <w:t>颅脑损伤导致极度智力缺损（智商小于等于</w:t>
            </w:r>
            <w:r>
              <w:rPr>
                <w:rFonts w:cs="宋体"/>
                <w:sz w:val="21"/>
                <w:szCs w:val="21"/>
                <w:lang w:val="en-US" w:eastAsia="zh-CN"/>
              </w:rPr>
              <w:t>20），日常生活完全不能自理，处于完全护理依赖状态</w:t>
            </w:r>
          </w:p>
        </w:tc>
        <w:tc>
          <w:tcPr>
            <w:tcW w:w="1056"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205" w:type="dxa"/>
            <w:shd w:val="clear" w:color="auto" w:fill="auto"/>
          </w:tcPr>
          <w:p>
            <w:pPr>
              <w:pStyle w:val="46"/>
              <w:rPr>
                <w:rFonts w:cs="宋体"/>
                <w:sz w:val="21"/>
                <w:szCs w:val="21"/>
                <w:lang w:val="en-US" w:eastAsia="zh-CN"/>
              </w:rPr>
            </w:pPr>
            <w:r>
              <w:rPr>
                <w:rFonts w:hint="eastAsia" w:cs="宋体"/>
                <w:sz w:val="21"/>
                <w:szCs w:val="21"/>
                <w:lang w:val="en-US" w:eastAsia="zh-CN"/>
              </w:rPr>
              <w:t>颅脑损伤导致重度智力缺损（智商小于等于</w:t>
            </w:r>
            <w:r>
              <w:rPr>
                <w:rFonts w:cs="宋体"/>
                <w:sz w:val="21"/>
                <w:szCs w:val="21"/>
                <w:lang w:val="en-US" w:eastAsia="zh-CN"/>
              </w:rPr>
              <w:t>34），日常生活需随时有人帮助才能完成，处于完全护理依赖状态</w:t>
            </w:r>
          </w:p>
        </w:tc>
        <w:tc>
          <w:tcPr>
            <w:tcW w:w="1056"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5" w:type="dxa"/>
            <w:shd w:val="clear" w:color="auto" w:fill="auto"/>
          </w:tcPr>
          <w:p>
            <w:pPr>
              <w:pStyle w:val="46"/>
              <w:rPr>
                <w:rFonts w:cs="宋体"/>
                <w:sz w:val="21"/>
                <w:szCs w:val="21"/>
                <w:lang w:val="en-US" w:eastAsia="zh-CN"/>
              </w:rPr>
            </w:pPr>
            <w:r>
              <w:rPr>
                <w:rFonts w:hint="eastAsia" w:cs="宋体"/>
                <w:sz w:val="21"/>
                <w:szCs w:val="21"/>
                <w:lang w:val="en-US" w:eastAsia="zh-CN"/>
              </w:rPr>
              <w:t>颅脑损伤导致重度智力缺损（智商小于等于</w:t>
            </w:r>
            <w:r>
              <w:rPr>
                <w:rFonts w:cs="宋体"/>
                <w:sz w:val="21"/>
                <w:szCs w:val="21"/>
                <w:lang w:val="en-US" w:eastAsia="zh-CN"/>
              </w:rPr>
              <w:t>34），不能完全独立生活，需经常有人监护，处于大部分护理依赖状态</w:t>
            </w:r>
          </w:p>
        </w:tc>
        <w:tc>
          <w:tcPr>
            <w:tcW w:w="1056"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5" w:type="dxa"/>
            <w:shd w:val="clear" w:color="auto" w:fill="auto"/>
          </w:tcPr>
          <w:p>
            <w:pPr>
              <w:pStyle w:val="46"/>
              <w:rPr>
                <w:rFonts w:cs="宋体"/>
                <w:sz w:val="21"/>
                <w:szCs w:val="21"/>
                <w:lang w:val="en-US" w:eastAsia="zh-CN"/>
              </w:rPr>
            </w:pPr>
            <w:r>
              <w:rPr>
                <w:rFonts w:hint="eastAsia" w:cs="宋体"/>
                <w:sz w:val="21"/>
                <w:szCs w:val="21"/>
                <w:lang w:val="en-US" w:eastAsia="zh-CN"/>
              </w:rPr>
              <w:t>颅脑损伤导致中度智力缺损（智商小于等于</w:t>
            </w:r>
            <w:r>
              <w:rPr>
                <w:rFonts w:cs="宋体"/>
                <w:sz w:val="21"/>
                <w:szCs w:val="21"/>
                <w:lang w:val="en-US" w:eastAsia="zh-CN"/>
              </w:rPr>
              <w:t>49），日常生活能力严重受限，间或需要帮助，处于大部分护理依赖状态</w:t>
            </w:r>
          </w:p>
        </w:tc>
        <w:tc>
          <w:tcPr>
            <w:tcW w:w="1056"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4级</w:t>
            </w:r>
          </w:p>
        </w:tc>
      </w:tr>
    </w:tbl>
    <w:p>
      <w:pPr>
        <w:pStyle w:val="44"/>
        <w:rPr>
          <w:rFonts w:ascii="宋体" w:hAnsi="宋体" w:eastAsia="宋体"/>
          <w:sz w:val="21"/>
          <w:szCs w:val="21"/>
        </w:rPr>
      </w:pPr>
      <w:r>
        <w:rPr>
          <w:rFonts w:hint="eastAsia" w:ascii="宋体" w:hAnsi="宋体" w:eastAsia="宋体"/>
          <w:sz w:val="21"/>
          <w:szCs w:val="21"/>
        </w:rPr>
        <w:t>注：</w:t>
      </w:r>
      <w:r>
        <w:rPr>
          <w:rFonts w:ascii="宋体" w:hAnsi="宋体" w:eastAsia="宋体"/>
          <w:sz w:val="21"/>
          <w:szCs w:val="21"/>
        </w:rPr>
        <w:fldChar w:fldCharType="begin"/>
      </w:r>
      <w:r>
        <w:rPr>
          <w:rFonts w:ascii="宋体" w:hAnsi="宋体" w:eastAsia="宋体"/>
          <w:sz w:val="21"/>
          <w:szCs w:val="21"/>
        </w:rPr>
        <w:instrText xml:space="preserve"> eq \o\ac(○,1)</w:instrText>
      </w:r>
      <w:r>
        <w:rPr>
          <w:rFonts w:ascii="宋体" w:hAnsi="宋体" w:eastAsia="宋体"/>
          <w:sz w:val="21"/>
          <w:szCs w:val="21"/>
        </w:rPr>
        <w:fldChar w:fldCharType="end"/>
      </w:r>
      <w:r>
        <w:rPr>
          <w:rFonts w:hint="eastAsia" w:ascii="宋体" w:hAnsi="宋体" w:eastAsia="宋体"/>
          <w:sz w:val="21"/>
          <w:szCs w:val="21"/>
        </w:rPr>
        <w:t>护理依赖：应用“基本日常生活活动能力”的丧失程度来判断护理依赖程度。</w:t>
      </w:r>
    </w:p>
    <w:p>
      <w:pPr>
        <w:pStyle w:val="44"/>
        <w:ind w:left="8" w:leftChars="4" w:firstLine="414"/>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eq \o\ac(○,2)</w:instrText>
      </w:r>
      <w:r>
        <w:rPr>
          <w:rFonts w:ascii="宋体" w:hAnsi="宋体" w:eastAsia="宋体"/>
          <w:sz w:val="21"/>
          <w:szCs w:val="21"/>
        </w:rPr>
        <w:fldChar w:fldCharType="end"/>
      </w:r>
      <w:r>
        <w:rPr>
          <w:rFonts w:hint="eastAsia" w:ascii="宋体" w:hAnsi="宋体" w:eastAsia="宋体"/>
          <w:sz w:val="21"/>
          <w:szCs w:val="21"/>
        </w:rPr>
        <w:t>基本日常生活活动是指：（1）</w:t>
      </w:r>
      <w:r>
        <w:rPr>
          <w:rFonts w:ascii="宋体" w:hAnsi="宋体" w:eastAsia="宋体"/>
          <w:sz w:val="21"/>
          <w:szCs w:val="21"/>
        </w:rPr>
        <w:t>穿衣：自己能够穿衣及脱衣；</w:t>
      </w:r>
      <w:r>
        <w:rPr>
          <w:rFonts w:hint="eastAsia" w:ascii="宋体" w:hAnsi="宋体" w:eastAsia="宋体"/>
          <w:sz w:val="21"/>
          <w:szCs w:val="21"/>
        </w:rPr>
        <w:t>（2）</w:t>
      </w:r>
      <w:r>
        <w:rPr>
          <w:rFonts w:ascii="宋体" w:hAnsi="宋体" w:eastAsia="宋体"/>
          <w:sz w:val="21"/>
          <w:szCs w:val="21"/>
        </w:rPr>
        <w:t>移动：自己从一个房间到另一个房间；</w:t>
      </w:r>
      <w:r>
        <w:rPr>
          <w:rFonts w:hint="eastAsia" w:ascii="宋体" w:hAnsi="宋体" w:eastAsia="宋体"/>
          <w:sz w:val="21"/>
          <w:szCs w:val="21"/>
        </w:rPr>
        <w:t>（3）</w:t>
      </w:r>
      <w:r>
        <w:rPr>
          <w:rFonts w:ascii="宋体" w:hAnsi="宋体" w:eastAsia="宋体"/>
          <w:sz w:val="21"/>
          <w:szCs w:val="21"/>
        </w:rPr>
        <w:t>行动：自己上下床或上下轮椅；</w:t>
      </w:r>
      <w:r>
        <w:rPr>
          <w:rFonts w:hint="eastAsia" w:ascii="宋体" w:hAnsi="宋体" w:eastAsia="宋体"/>
          <w:sz w:val="21"/>
          <w:szCs w:val="21"/>
        </w:rPr>
        <w:t>（4）</w:t>
      </w:r>
      <w:r>
        <w:rPr>
          <w:rFonts w:ascii="宋体" w:hAnsi="宋体" w:eastAsia="宋体"/>
          <w:sz w:val="21"/>
          <w:szCs w:val="21"/>
        </w:rPr>
        <w:t>如厕：自己控制进行大小便；</w:t>
      </w:r>
      <w:r>
        <w:rPr>
          <w:rFonts w:hint="eastAsia" w:ascii="宋体" w:hAnsi="宋体" w:eastAsia="宋体"/>
          <w:sz w:val="21"/>
          <w:szCs w:val="21"/>
        </w:rPr>
        <w:t>（5）</w:t>
      </w:r>
      <w:r>
        <w:rPr>
          <w:rFonts w:ascii="宋体" w:hAnsi="宋体" w:eastAsia="宋体"/>
          <w:sz w:val="21"/>
          <w:szCs w:val="21"/>
        </w:rPr>
        <w:t>进食：自己从已准备好的碗或碟中取食物放入口中；</w:t>
      </w:r>
      <w:r>
        <w:rPr>
          <w:rFonts w:hint="eastAsia" w:ascii="宋体" w:hAnsi="宋体" w:eastAsia="宋体"/>
          <w:sz w:val="21"/>
          <w:szCs w:val="21"/>
        </w:rPr>
        <w:t>（6）</w:t>
      </w:r>
      <w:r>
        <w:rPr>
          <w:rFonts w:ascii="宋体" w:hAnsi="宋体" w:eastAsia="宋体"/>
          <w:sz w:val="21"/>
          <w:szCs w:val="21"/>
        </w:rPr>
        <w:t>洗澡：自己进行淋浴或盆浴。</w:t>
      </w:r>
    </w:p>
    <w:p>
      <w:pPr>
        <w:pStyle w:val="44"/>
        <w:ind w:left="2" w:firstLine="37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fldChar w:fldCharType="begin"/>
      </w:r>
      <w:r>
        <w:rPr>
          <w:rFonts w:ascii="宋体" w:hAnsi="宋体" w:eastAsia="宋体"/>
          <w:sz w:val="21"/>
          <w:szCs w:val="21"/>
        </w:rPr>
        <w:instrText xml:space="preserve"> eq \o\ac(○,3)</w:instrText>
      </w:r>
      <w:r>
        <w:rPr>
          <w:rFonts w:ascii="宋体" w:hAnsi="宋体" w:eastAsia="宋体"/>
          <w:sz w:val="21"/>
          <w:szCs w:val="21"/>
        </w:rPr>
        <w:fldChar w:fldCharType="end"/>
      </w:r>
      <w:r>
        <w:rPr>
          <w:rFonts w:hint="eastAsia" w:ascii="宋体" w:hAnsi="宋体" w:eastAsia="宋体"/>
          <w:sz w:val="21"/>
          <w:szCs w:val="21"/>
        </w:rPr>
        <w:t>护理依赖的程度分三级：（1）</w:t>
      </w:r>
      <w:r>
        <w:rPr>
          <w:rFonts w:ascii="宋体" w:hAnsi="宋体" w:eastAsia="宋体"/>
          <w:sz w:val="21"/>
          <w:szCs w:val="21"/>
        </w:rPr>
        <w:t>完全护理依赖指生活完全不能自理，上述六项基本日常生活活动均需护理者；</w:t>
      </w:r>
      <w:r>
        <w:rPr>
          <w:rFonts w:hint="eastAsia" w:ascii="宋体" w:hAnsi="宋体" w:eastAsia="宋体"/>
          <w:sz w:val="21"/>
          <w:szCs w:val="21"/>
        </w:rPr>
        <w:t>（2）</w:t>
      </w:r>
      <w:r>
        <w:rPr>
          <w:rFonts w:ascii="宋体" w:hAnsi="宋体" w:eastAsia="宋体"/>
          <w:sz w:val="21"/>
          <w:szCs w:val="21"/>
        </w:rPr>
        <w:t>大部分护理依赖指生活大部不能自理，上述六项基本日常生活活动中三项或三项以上需要护理者；</w:t>
      </w:r>
      <w:r>
        <w:rPr>
          <w:rFonts w:hint="eastAsia" w:ascii="宋体" w:hAnsi="宋体" w:eastAsia="宋体"/>
          <w:sz w:val="21"/>
          <w:szCs w:val="21"/>
        </w:rPr>
        <w:t>（3）</w:t>
      </w:r>
      <w:r>
        <w:rPr>
          <w:rFonts w:ascii="宋体" w:hAnsi="宋体" w:eastAsia="宋体"/>
          <w:sz w:val="21"/>
          <w:szCs w:val="21"/>
        </w:rPr>
        <w:t>部分护理依赖指部分生活不能自理，上述六项基本日常生活活动中一项或一项以上需要护理者。</w:t>
      </w:r>
    </w:p>
    <w:p>
      <w:pPr>
        <w:ind w:firstLine="420"/>
        <w:contextualSpacing/>
        <w:rPr>
          <w:rFonts w:ascii="宋体" w:hAnsi="宋体"/>
          <w:szCs w:val="21"/>
        </w:rPr>
      </w:pPr>
    </w:p>
    <w:p>
      <w:pPr>
        <w:pStyle w:val="4"/>
        <w:numPr>
          <w:ilvl w:val="1"/>
          <w:numId w:val="1"/>
        </w:numPr>
        <w:ind w:left="0" w:firstLine="0"/>
        <w:contextualSpacing/>
        <w:rPr>
          <w:sz w:val="21"/>
          <w:szCs w:val="21"/>
        </w:rPr>
      </w:pPr>
      <w:bookmarkStart w:id="5" w:name="_Toc356463466"/>
      <w:r>
        <w:rPr>
          <w:rFonts w:hint="eastAsia"/>
          <w:sz w:val="21"/>
          <w:szCs w:val="21"/>
        </w:rPr>
        <w:t>意识功能障碍</w:t>
      </w:r>
      <w:bookmarkEnd w:id="5"/>
    </w:p>
    <w:p>
      <w:pPr>
        <w:ind w:firstLine="420"/>
        <w:rPr>
          <w:rFonts w:ascii="宋体" w:hAnsi="宋体"/>
          <w:szCs w:val="21"/>
        </w:rPr>
      </w:pPr>
      <w:r>
        <w:rPr>
          <w:rFonts w:hint="eastAsia" w:ascii="宋体" w:hAnsi="宋体"/>
          <w:szCs w:val="21"/>
        </w:rPr>
        <w:t>意识功能是指意识和警觉状态下的一般精神功能，包括清醒和持续的觉醒状态。本标准中的意识功能障碍是指颅脑损伤导致植物状态。</w:t>
      </w:r>
    </w:p>
    <w:p>
      <w:pPr>
        <w:ind w:firstLine="420"/>
        <w:contextualSpacing/>
        <w:rPr>
          <w:rFonts w:ascii="宋体" w:hAnsi="宋体"/>
          <w:szCs w:val="21"/>
        </w:rPr>
      </w:pPr>
    </w:p>
    <w:tbl>
      <w:tblPr>
        <w:tblStyle w:val="18"/>
        <w:tblW w:w="8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220"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颅脑损伤导致植物状态</w:t>
            </w:r>
          </w:p>
        </w:tc>
        <w:tc>
          <w:tcPr>
            <w:tcW w:w="1072"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1级</w:t>
            </w:r>
          </w:p>
        </w:tc>
      </w:tr>
    </w:tbl>
    <w:p>
      <w:pPr>
        <w:pStyle w:val="44"/>
        <w:ind w:left="2"/>
        <w:rPr>
          <w:rFonts w:ascii="宋体" w:hAnsi="宋体" w:eastAsia="宋体"/>
          <w:sz w:val="21"/>
          <w:szCs w:val="21"/>
        </w:rPr>
      </w:pPr>
      <w:r>
        <w:rPr>
          <w:rFonts w:hint="eastAsia" w:ascii="宋体" w:hAnsi="宋体" w:eastAsia="宋体"/>
          <w:sz w:val="21"/>
          <w:szCs w:val="21"/>
        </w:rPr>
        <w:t>注：植物状态指由于严重颅脑损伤造成认知功能丧失，无意识活动，不能执行命令，保持自主呼吸和血压，有睡眠</w:t>
      </w:r>
      <w:r>
        <w:rPr>
          <w:rFonts w:ascii="宋体" w:hAnsi="宋体" w:eastAsia="宋体"/>
          <w:sz w:val="21"/>
          <w:szCs w:val="21"/>
        </w:rPr>
        <w:t>-醒觉周期，不能理解和表达语言，能自动睁眼或刺激下睁眼，可有无目的性眼球跟踪运动，丘脑下部及脑干功能基本保存。</w:t>
      </w:r>
    </w:p>
    <w:p>
      <w:pPr>
        <w:ind w:firstLine="420"/>
        <w:contextualSpacing/>
        <w:rPr>
          <w:rFonts w:ascii="宋体" w:hAnsi="宋体"/>
          <w:szCs w:val="21"/>
        </w:rPr>
      </w:pPr>
    </w:p>
    <w:p>
      <w:pPr>
        <w:pStyle w:val="3"/>
        <w:numPr>
          <w:ilvl w:val="0"/>
          <w:numId w:val="1"/>
        </w:numPr>
        <w:contextualSpacing/>
        <w:rPr>
          <w:rFonts w:ascii="宋体" w:hAnsi="宋体"/>
          <w:sz w:val="21"/>
          <w:szCs w:val="21"/>
        </w:rPr>
      </w:pPr>
      <w:bookmarkStart w:id="6" w:name="_Toc356463467"/>
      <w:r>
        <w:rPr>
          <w:rFonts w:hint="eastAsia" w:ascii="宋体" w:hAnsi="宋体"/>
          <w:sz w:val="21"/>
          <w:szCs w:val="21"/>
        </w:rPr>
        <w:t>眼，耳和有关的结构和功能</w:t>
      </w:r>
      <w:bookmarkEnd w:id="6"/>
    </w:p>
    <w:p>
      <w:pPr>
        <w:pStyle w:val="4"/>
        <w:numPr>
          <w:ilvl w:val="1"/>
          <w:numId w:val="1"/>
        </w:numPr>
        <w:ind w:left="0" w:firstLine="0"/>
        <w:contextualSpacing/>
        <w:rPr>
          <w:sz w:val="21"/>
          <w:szCs w:val="21"/>
        </w:rPr>
      </w:pPr>
      <w:bookmarkStart w:id="7" w:name="_Toc356463468"/>
      <w:r>
        <w:rPr>
          <w:rFonts w:hint="eastAsia"/>
          <w:sz w:val="21"/>
          <w:szCs w:val="21"/>
        </w:rPr>
        <w:t>眼球损伤或视功能障碍</w:t>
      </w:r>
      <w:bookmarkEnd w:id="7"/>
    </w:p>
    <w:p>
      <w:pPr>
        <w:ind w:firstLine="420"/>
        <w:rPr>
          <w:rFonts w:ascii="宋体" w:hAnsi="宋体"/>
          <w:szCs w:val="21"/>
          <w:lang w:val="en-GB"/>
        </w:rPr>
      </w:pPr>
      <w:r>
        <w:rPr>
          <w:rFonts w:hint="eastAsia" w:ascii="宋体" w:hAnsi="宋体"/>
          <w:szCs w:val="21"/>
          <w:lang w:val="en-GB"/>
        </w:rPr>
        <w:t>视功能是指与感受存在的光线和感受视觉刺激的形式、大小、形状和颜色等有关的感觉功能。本标准中的视功能障碍是指眼盲目或低视力。</w:t>
      </w:r>
    </w:p>
    <w:p>
      <w:pPr>
        <w:ind w:firstLine="420"/>
        <w:contextualSpacing/>
        <w:rPr>
          <w:rFonts w:ascii="宋体" w:hAnsi="宋体"/>
          <w:szCs w:val="21"/>
        </w:rPr>
      </w:pPr>
    </w:p>
    <w:tbl>
      <w:tblPr>
        <w:tblStyle w:val="18"/>
        <w:tblW w:w="8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双侧眼球缺失</w:t>
            </w:r>
          </w:p>
        </w:tc>
        <w:tc>
          <w:tcPr>
            <w:tcW w:w="1099"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一侧眼球缺失，且另一侧眼盲目</w:t>
            </w:r>
            <w:r>
              <w:rPr>
                <w:rFonts w:cs="宋体"/>
                <w:sz w:val="21"/>
                <w:szCs w:val="21"/>
                <w:lang w:val="en-US" w:eastAsia="zh-CN"/>
              </w:rPr>
              <w:t>5级</w:t>
            </w:r>
          </w:p>
        </w:tc>
        <w:tc>
          <w:tcPr>
            <w:tcW w:w="1099"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一侧眼球缺失，且另一侧眼盲目</w:t>
            </w:r>
            <w:r>
              <w:rPr>
                <w:rFonts w:cs="宋体"/>
                <w:sz w:val="21"/>
                <w:szCs w:val="21"/>
                <w:lang w:val="en-US" w:eastAsia="zh-CN"/>
              </w:rPr>
              <w:t>4级</w:t>
            </w:r>
          </w:p>
        </w:tc>
        <w:tc>
          <w:tcPr>
            <w:tcW w:w="1099"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一侧眼球缺失，且另一侧眼盲目</w:t>
            </w:r>
            <w:r>
              <w:rPr>
                <w:rFonts w:cs="宋体"/>
                <w:sz w:val="21"/>
                <w:szCs w:val="21"/>
                <w:lang w:val="en-US" w:eastAsia="zh-CN"/>
              </w:rPr>
              <w:t>3级</w:t>
            </w:r>
          </w:p>
        </w:tc>
        <w:tc>
          <w:tcPr>
            <w:tcW w:w="1099"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一侧眼球缺失，且另一侧眼低视力</w:t>
            </w:r>
            <w:r>
              <w:rPr>
                <w:rFonts w:cs="宋体"/>
                <w:sz w:val="21"/>
                <w:szCs w:val="21"/>
                <w:lang w:val="en-US" w:eastAsia="zh-CN"/>
              </w:rPr>
              <w:t>2级</w:t>
            </w:r>
          </w:p>
        </w:tc>
        <w:tc>
          <w:tcPr>
            <w:tcW w:w="1099"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一侧眼球缺失，且另一侧眼低视力</w:t>
            </w:r>
            <w:r>
              <w:rPr>
                <w:rFonts w:cs="宋体"/>
                <w:sz w:val="21"/>
                <w:szCs w:val="21"/>
                <w:lang w:val="en-US" w:eastAsia="zh-CN"/>
              </w:rPr>
              <w:t>1级</w:t>
            </w:r>
          </w:p>
        </w:tc>
        <w:tc>
          <w:tcPr>
            <w:tcW w:w="1099"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一侧眼球缺失</w:t>
            </w:r>
          </w:p>
        </w:tc>
        <w:tc>
          <w:tcPr>
            <w:tcW w:w="1099"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7级</w:t>
            </w:r>
          </w:p>
        </w:tc>
      </w:tr>
    </w:tbl>
    <w:p>
      <w:pPr>
        <w:ind w:firstLine="420"/>
        <w:contextualSpacing/>
        <w:rPr>
          <w:rFonts w:ascii="宋体" w:hAnsi="宋体"/>
          <w:szCs w:val="21"/>
        </w:rPr>
      </w:pPr>
    </w:p>
    <w:p>
      <w:pPr>
        <w:pStyle w:val="4"/>
        <w:numPr>
          <w:ilvl w:val="1"/>
          <w:numId w:val="1"/>
        </w:numPr>
        <w:ind w:left="0" w:firstLine="0"/>
        <w:contextualSpacing/>
        <w:rPr>
          <w:sz w:val="21"/>
          <w:szCs w:val="21"/>
        </w:rPr>
      </w:pPr>
      <w:bookmarkStart w:id="8" w:name="_Toc356463469"/>
      <w:r>
        <w:rPr>
          <w:rFonts w:hint="eastAsia"/>
          <w:sz w:val="21"/>
          <w:szCs w:val="21"/>
        </w:rPr>
        <w:t>视功能障碍</w:t>
      </w:r>
      <w:bookmarkEnd w:id="8"/>
    </w:p>
    <w:p>
      <w:pPr>
        <w:ind w:firstLine="420"/>
        <w:rPr>
          <w:rFonts w:ascii="宋体" w:hAnsi="宋体"/>
          <w:szCs w:val="21"/>
          <w:lang w:val="en-GB"/>
        </w:rPr>
      </w:pPr>
      <w:r>
        <w:rPr>
          <w:rFonts w:hint="eastAsia" w:ascii="宋体" w:hAnsi="宋体"/>
          <w:szCs w:val="21"/>
          <w:lang w:val="en-GB"/>
        </w:rPr>
        <w:t>除眼盲目和低视力外，本标准中的视功能障碍还包括视野缺损。</w:t>
      </w:r>
    </w:p>
    <w:p>
      <w:pPr>
        <w:ind w:firstLine="420"/>
        <w:contextualSpacing/>
        <w:rPr>
          <w:rFonts w:ascii="宋体" w:hAnsi="宋体"/>
          <w:szCs w:val="21"/>
        </w:rPr>
      </w:pPr>
    </w:p>
    <w:tbl>
      <w:tblPr>
        <w:tblStyle w:val="18"/>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21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双眼盲目</w:t>
            </w:r>
            <w:r>
              <w:rPr>
                <w:rFonts w:cs="宋体"/>
                <w:sz w:val="21"/>
                <w:szCs w:val="21"/>
                <w:lang w:val="en-US" w:eastAsia="zh-CN"/>
              </w:rPr>
              <w:t>5级</w:t>
            </w:r>
          </w:p>
        </w:tc>
        <w:tc>
          <w:tcPr>
            <w:tcW w:w="107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721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双眼视野缺损，直径小于</w:t>
            </w:r>
            <w:r>
              <w:rPr>
                <w:rFonts w:cs="宋体"/>
                <w:sz w:val="21"/>
                <w:szCs w:val="21"/>
                <w:lang w:val="en-US" w:eastAsia="zh-CN"/>
              </w:rPr>
              <w:t>5°</w:t>
            </w:r>
          </w:p>
        </w:tc>
        <w:tc>
          <w:tcPr>
            <w:tcW w:w="1070" w:type="dxa"/>
            <w:shd w:val="clear" w:color="auto" w:fill="auto"/>
            <w:vAlign w:val="center"/>
          </w:tcPr>
          <w:p>
            <w:pPr>
              <w:pStyle w:val="46"/>
              <w:jc w:val="center"/>
              <w:rPr>
                <w:rFonts w:cs="宋体"/>
                <w:sz w:val="21"/>
                <w:szCs w:val="21"/>
                <w:lang w:val="en-US" w:eastAsia="zh-CN"/>
              </w:rPr>
            </w:pPr>
            <w:r>
              <w:rPr>
                <w:rFonts w:hint="eastAsia" w:cs="宋体"/>
                <w:sz w:val="21"/>
                <w:szCs w:val="21"/>
                <w:lang w:val="en-US" w:eastAsia="zh-CN"/>
              </w:rPr>
              <w:t>2</w:t>
            </w:r>
            <w:r>
              <w:rPr>
                <w:rFonts w:cs="宋体"/>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21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双眼盲目大于等于</w:t>
            </w:r>
            <w:r>
              <w:rPr>
                <w:rFonts w:cs="宋体"/>
                <w:sz w:val="21"/>
                <w:szCs w:val="21"/>
                <w:lang w:val="en-US" w:eastAsia="zh-CN"/>
              </w:rPr>
              <w:t>4级</w:t>
            </w:r>
          </w:p>
        </w:tc>
        <w:tc>
          <w:tcPr>
            <w:tcW w:w="107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双眼视野缺损，直径小于</w:t>
            </w:r>
            <w:r>
              <w:rPr>
                <w:rFonts w:cs="宋体"/>
                <w:sz w:val="21"/>
                <w:szCs w:val="21"/>
                <w:lang w:val="en-US" w:eastAsia="zh-CN"/>
              </w:rPr>
              <w:t>10°</w:t>
            </w:r>
          </w:p>
        </w:tc>
        <w:tc>
          <w:tcPr>
            <w:tcW w:w="1070" w:type="dxa"/>
            <w:shd w:val="clear" w:color="auto" w:fill="auto"/>
            <w:vAlign w:val="center"/>
          </w:tcPr>
          <w:p>
            <w:pPr>
              <w:pStyle w:val="46"/>
              <w:jc w:val="center"/>
              <w:rPr>
                <w:rFonts w:cs="宋体"/>
                <w:sz w:val="21"/>
                <w:szCs w:val="21"/>
                <w:lang w:val="en-US" w:eastAsia="zh-CN"/>
              </w:rPr>
            </w:pPr>
            <w:r>
              <w:rPr>
                <w:rFonts w:hint="eastAsia" w:cs="宋体"/>
                <w:sz w:val="21"/>
                <w:szCs w:val="21"/>
                <w:lang w:val="en-US" w:eastAsia="zh-CN"/>
              </w:rPr>
              <w:t>3</w:t>
            </w:r>
            <w:r>
              <w:rPr>
                <w:rFonts w:cs="宋体"/>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双眼盲目大于等于</w:t>
            </w:r>
            <w:r>
              <w:rPr>
                <w:rFonts w:cs="宋体"/>
                <w:sz w:val="21"/>
                <w:szCs w:val="21"/>
                <w:lang w:val="en-US" w:eastAsia="zh-CN"/>
              </w:rPr>
              <w:t>3级</w:t>
            </w:r>
          </w:p>
        </w:tc>
        <w:tc>
          <w:tcPr>
            <w:tcW w:w="107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721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双眼视野缺损，直径小于</w:t>
            </w:r>
            <w:r>
              <w:rPr>
                <w:rFonts w:cs="宋体"/>
                <w:sz w:val="21"/>
                <w:szCs w:val="21"/>
                <w:lang w:val="en-US" w:eastAsia="zh-CN"/>
              </w:rPr>
              <w:t>20°</w:t>
            </w:r>
          </w:p>
        </w:tc>
        <w:tc>
          <w:tcPr>
            <w:tcW w:w="1070" w:type="dxa"/>
            <w:shd w:val="clear" w:color="auto" w:fill="auto"/>
            <w:vAlign w:val="center"/>
          </w:tcPr>
          <w:p>
            <w:pPr>
              <w:pStyle w:val="46"/>
              <w:jc w:val="center"/>
              <w:rPr>
                <w:rFonts w:cs="宋体"/>
                <w:sz w:val="21"/>
                <w:szCs w:val="21"/>
                <w:lang w:val="en-US" w:eastAsia="zh-CN"/>
              </w:rPr>
            </w:pPr>
            <w:r>
              <w:rPr>
                <w:rFonts w:hint="eastAsia" w:cs="宋体"/>
                <w:sz w:val="21"/>
                <w:szCs w:val="21"/>
                <w:lang w:val="en-US" w:eastAsia="zh-CN"/>
              </w:rPr>
              <w:t>4</w:t>
            </w:r>
            <w:r>
              <w:rPr>
                <w:rFonts w:cs="宋体"/>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21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双眼低视力大于等于</w:t>
            </w:r>
            <w:r>
              <w:rPr>
                <w:rFonts w:cs="宋体"/>
                <w:sz w:val="21"/>
                <w:szCs w:val="21"/>
                <w:lang w:val="en-US" w:eastAsia="zh-CN"/>
              </w:rPr>
              <w:t>2级</w:t>
            </w:r>
          </w:p>
        </w:tc>
        <w:tc>
          <w:tcPr>
            <w:tcW w:w="107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21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双眼低视力大于等于</w:t>
            </w:r>
            <w:r>
              <w:rPr>
                <w:rFonts w:cs="宋体"/>
                <w:sz w:val="21"/>
                <w:szCs w:val="21"/>
                <w:lang w:val="en-US" w:eastAsia="zh-CN"/>
              </w:rPr>
              <w:t>1级</w:t>
            </w:r>
          </w:p>
        </w:tc>
        <w:tc>
          <w:tcPr>
            <w:tcW w:w="107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双眼视野缺损，直径小于</w:t>
            </w:r>
            <w:r>
              <w:rPr>
                <w:rFonts w:cs="宋体"/>
                <w:sz w:val="21"/>
                <w:szCs w:val="21"/>
                <w:lang w:val="en-US" w:eastAsia="zh-CN"/>
              </w:rPr>
              <w:t>60°</w:t>
            </w:r>
          </w:p>
        </w:tc>
        <w:tc>
          <w:tcPr>
            <w:tcW w:w="107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21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一眼盲目</w:t>
            </w:r>
            <w:r>
              <w:rPr>
                <w:rFonts w:cs="宋体"/>
                <w:sz w:val="21"/>
                <w:szCs w:val="21"/>
                <w:lang w:val="en-US" w:eastAsia="zh-CN"/>
              </w:rPr>
              <w:t>5级</w:t>
            </w:r>
          </w:p>
        </w:tc>
        <w:tc>
          <w:tcPr>
            <w:tcW w:w="107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721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一眼视野缺损，直径小于</w:t>
            </w:r>
            <w:r>
              <w:rPr>
                <w:rFonts w:cs="宋体"/>
                <w:sz w:val="21"/>
                <w:szCs w:val="21"/>
                <w:lang w:val="en-US" w:eastAsia="zh-CN"/>
              </w:rPr>
              <w:t>5°</w:t>
            </w:r>
          </w:p>
        </w:tc>
        <w:tc>
          <w:tcPr>
            <w:tcW w:w="107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21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一眼盲目大于等于</w:t>
            </w:r>
            <w:r>
              <w:rPr>
                <w:rFonts w:cs="宋体"/>
                <w:sz w:val="21"/>
                <w:szCs w:val="21"/>
                <w:lang w:val="en-US" w:eastAsia="zh-CN"/>
              </w:rPr>
              <w:t>4级</w:t>
            </w:r>
          </w:p>
        </w:tc>
        <w:tc>
          <w:tcPr>
            <w:tcW w:w="107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21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一眼视野缺损，直径小于</w:t>
            </w:r>
            <w:r>
              <w:rPr>
                <w:rFonts w:cs="宋体"/>
                <w:sz w:val="21"/>
                <w:szCs w:val="21"/>
                <w:lang w:val="en-US" w:eastAsia="zh-CN"/>
              </w:rPr>
              <w:t>10°</w:t>
            </w:r>
          </w:p>
        </w:tc>
        <w:tc>
          <w:tcPr>
            <w:tcW w:w="107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1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一眼盲目大于等于</w:t>
            </w:r>
            <w:r>
              <w:rPr>
                <w:rFonts w:cs="宋体"/>
                <w:sz w:val="21"/>
                <w:szCs w:val="21"/>
                <w:lang w:val="en-US" w:eastAsia="zh-CN"/>
              </w:rPr>
              <w:t>3级</w:t>
            </w:r>
          </w:p>
        </w:tc>
        <w:tc>
          <w:tcPr>
            <w:tcW w:w="107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21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一眼视野缺损，直径小于</w:t>
            </w:r>
            <w:r>
              <w:rPr>
                <w:rFonts w:cs="宋体"/>
                <w:sz w:val="21"/>
                <w:szCs w:val="21"/>
                <w:lang w:val="en-US" w:eastAsia="zh-CN"/>
              </w:rPr>
              <w:t>20°</w:t>
            </w:r>
          </w:p>
        </w:tc>
        <w:tc>
          <w:tcPr>
            <w:tcW w:w="107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21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一眼低视力大于等于</w:t>
            </w:r>
            <w:r>
              <w:rPr>
                <w:rFonts w:cs="宋体"/>
                <w:sz w:val="21"/>
                <w:szCs w:val="21"/>
                <w:lang w:val="en-US" w:eastAsia="zh-CN"/>
              </w:rPr>
              <w:t>1级。</w:t>
            </w:r>
          </w:p>
        </w:tc>
        <w:tc>
          <w:tcPr>
            <w:tcW w:w="107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一眼视野缺损，直径小于</w:t>
            </w:r>
            <w:r>
              <w:rPr>
                <w:rFonts w:cs="宋体"/>
                <w:sz w:val="21"/>
                <w:szCs w:val="21"/>
                <w:lang w:val="en-US" w:eastAsia="zh-CN"/>
              </w:rPr>
              <w:t>60°</w:t>
            </w:r>
          </w:p>
        </w:tc>
        <w:tc>
          <w:tcPr>
            <w:tcW w:w="107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10级</w:t>
            </w:r>
          </w:p>
        </w:tc>
      </w:tr>
    </w:tbl>
    <w:p>
      <w:pPr>
        <w:pStyle w:val="44"/>
        <w:rPr>
          <w:rFonts w:ascii="宋体" w:hAnsi="宋体" w:eastAsia="宋体"/>
          <w:sz w:val="21"/>
          <w:szCs w:val="21"/>
        </w:rPr>
      </w:pPr>
      <w:r>
        <w:rPr>
          <w:rFonts w:hint="eastAsia" w:ascii="宋体" w:hAnsi="宋体" w:eastAsia="宋体"/>
          <w:sz w:val="21"/>
          <w:szCs w:val="21"/>
          <w:lang w:val="en-GB"/>
        </w:rPr>
        <w:t>注：</w:t>
      </w:r>
      <w:r>
        <w:rPr>
          <w:rFonts w:ascii="宋体" w:hAnsi="宋体" w:eastAsia="宋体"/>
          <w:sz w:val="21"/>
          <w:szCs w:val="21"/>
          <w:lang w:val="en-GB"/>
        </w:rPr>
        <w:fldChar w:fldCharType="begin"/>
      </w:r>
      <w:r>
        <w:rPr>
          <w:rFonts w:ascii="宋体" w:hAnsi="宋体" w:eastAsia="宋体"/>
          <w:sz w:val="21"/>
          <w:szCs w:val="21"/>
          <w:lang w:val="en-GB"/>
        </w:rPr>
        <w:instrText xml:space="preserve"> = 1 \* GB3 </w:instrText>
      </w:r>
      <w:r>
        <w:rPr>
          <w:rFonts w:ascii="宋体" w:hAnsi="宋体" w:eastAsia="宋体"/>
          <w:sz w:val="21"/>
          <w:szCs w:val="21"/>
          <w:lang w:val="en-GB"/>
        </w:rPr>
        <w:fldChar w:fldCharType="separate"/>
      </w:r>
      <w:r>
        <w:rPr>
          <w:rFonts w:hint="eastAsia" w:ascii="宋体" w:hAnsi="宋体" w:eastAsia="宋体"/>
          <w:sz w:val="21"/>
          <w:szCs w:val="21"/>
          <w:lang w:val="en-GB"/>
        </w:rPr>
        <w:t>①</w:t>
      </w:r>
      <w:r>
        <w:rPr>
          <w:rFonts w:ascii="宋体" w:hAnsi="宋体" w:eastAsia="宋体"/>
          <w:sz w:val="21"/>
          <w:szCs w:val="21"/>
          <w:lang w:val="en-GB"/>
        </w:rPr>
        <w:fldChar w:fldCharType="end"/>
      </w:r>
      <w:r>
        <w:rPr>
          <w:rFonts w:hint="eastAsia" w:ascii="宋体" w:hAnsi="宋体" w:eastAsia="宋体"/>
          <w:sz w:val="21"/>
          <w:szCs w:val="21"/>
        </w:rPr>
        <w:t>视力和视野</w:t>
      </w:r>
    </w:p>
    <w:tbl>
      <w:tblPr>
        <w:tblStyle w:val="18"/>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72"/>
        <w:gridCol w:w="2552"/>
        <w:gridCol w:w="3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48" w:type="dxa"/>
            <w:gridSpan w:val="2"/>
            <w:vMerge w:val="restart"/>
            <w:shd w:val="clear" w:color="auto" w:fill="auto"/>
            <w:vAlign w:val="center"/>
          </w:tcPr>
          <w:p>
            <w:pPr>
              <w:pStyle w:val="44"/>
              <w:jc w:val="center"/>
              <w:rPr>
                <w:rFonts w:ascii="宋体" w:hAnsi="宋体" w:eastAsia="宋体" w:cs="宋体"/>
                <w:sz w:val="21"/>
                <w:szCs w:val="21"/>
                <w:lang w:val="en-US" w:eastAsia="zh-CN"/>
              </w:rPr>
            </w:pPr>
            <w:r>
              <w:rPr>
                <w:rFonts w:hint="eastAsia" w:ascii="宋体" w:hAnsi="宋体" w:eastAsia="宋体" w:cs="宋体"/>
                <w:sz w:val="21"/>
                <w:szCs w:val="21"/>
                <w:lang w:val="en-US" w:eastAsia="zh-CN"/>
              </w:rPr>
              <w:t>级别</w:t>
            </w:r>
          </w:p>
        </w:tc>
        <w:tc>
          <w:tcPr>
            <w:tcW w:w="5774" w:type="dxa"/>
            <w:gridSpan w:val="2"/>
            <w:shd w:val="clear" w:color="auto" w:fill="auto"/>
          </w:tcPr>
          <w:p>
            <w:pPr>
              <w:pStyle w:val="44"/>
              <w:jc w:val="center"/>
              <w:rPr>
                <w:rFonts w:ascii="宋体" w:hAnsi="宋体" w:eastAsia="宋体" w:cs="宋体"/>
                <w:sz w:val="21"/>
                <w:szCs w:val="21"/>
                <w:lang w:val="en-US" w:eastAsia="zh-CN"/>
              </w:rPr>
            </w:pPr>
            <w:r>
              <w:rPr>
                <w:rFonts w:hint="eastAsia" w:ascii="宋体" w:hAnsi="宋体" w:eastAsia="宋体" w:cs="宋体"/>
                <w:sz w:val="21"/>
                <w:szCs w:val="21"/>
                <w:lang w:val="en-US" w:eastAsia="zh-CN"/>
              </w:rPr>
              <w:t>低视力及盲目分级标准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548" w:type="dxa"/>
            <w:gridSpan w:val="2"/>
            <w:vMerge w:val="continue"/>
            <w:shd w:val="clear" w:color="auto" w:fill="auto"/>
          </w:tcPr>
          <w:p>
            <w:pPr>
              <w:pStyle w:val="44"/>
              <w:jc w:val="center"/>
              <w:rPr>
                <w:rFonts w:ascii="宋体" w:hAnsi="宋体" w:eastAsia="宋体" w:cs="宋体"/>
                <w:sz w:val="21"/>
                <w:szCs w:val="21"/>
                <w:lang w:val="en-US" w:eastAsia="zh-CN"/>
              </w:rPr>
            </w:pPr>
          </w:p>
        </w:tc>
        <w:tc>
          <w:tcPr>
            <w:tcW w:w="5774" w:type="dxa"/>
            <w:gridSpan w:val="2"/>
            <w:shd w:val="clear" w:color="auto" w:fill="auto"/>
          </w:tcPr>
          <w:p>
            <w:pPr>
              <w:pStyle w:val="44"/>
              <w:jc w:val="center"/>
              <w:rPr>
                <w:rFonts w:ascii="宋体" w:hAnsi="宋体" w:eastAsia="宋体" w:cs="宋体"/>
                <w:sz w:val="21"/>
                <w:szCs w:val="21"/>
                <w:lang w:val="en-US" w:eastAsia="zh-CN"/>
              </w:rPr>
            </w:pPr>
            <w:r>
              <w:rPr>
                <w:rFonts w:hint="eastAsia" w:ascii="宋体" w:hAnsi="宋体" w:eastAsia="宋体" w:cs="宋体"/>
                <w:sz w:val="21"/>
                <w:szCs w:val="21"/>
                <w:lang w:val="en-US" w:eastAsia="zh-CN"/>
              </w:rPr>
              <w:t>最好矫正视力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48" w:type="dxa"/>
            <w:gridSpan w:val="2"/>
            <w:vMerge w:val="continue"/>
            <w:shd w:val="clear" w:color="auto" w:fill="auto"/>
          </w:tcPr>
          <w:p>
            <w:pPr>
              <w:pStyle w:val="44"/>
              <w:jc w:val="center"/>
              <w:rPr>
                <w:rFonts w:ascii="宋体" w:hAnsi="宋体" w:eastAsia="宋体" w:cs="宋体"/>
                <w:sz w:val="21"/>
                <w:szCs w:val="21"/>
                <w:lang w:val="en-US" w:eastAsia="zh-CN"/>
              </w:rPr>
            </w:pPr>
          </w:p>
        </w:tc>
        <w:tc>
          <w:tcPr>
            <w:tcW w:w="2552" w:type="dxa"/>
            <w:shd w:val="clear" w:color="auto" w:fill="auto"/>
          </w:tcPr>
          <w:p>
            <w:pPr>
              <w:pStyle w:val="44"/>
              <w:jc w:val="center"/>
              <w:rPr>
                <w:rFonts w:ascii="宋体" w:hAnsi="宋体" w:eastAsia="宋体" w:cs="宋体"/>
                <w:sz w:val="21"/>
                <w:szCs w:val="21"/>
                <w:lang w:val="en-US" w:eastAsia="zh-CN"/>
              </w:rPr>
            </w:pPr>
            <w:r>
              <w:rPr>
                <w:rFonts w:hint="eastAsia" w:ascii="宋体" w:hAnsi="宋体" w:eastAsia="宋体" w:cs="宋体"/>
                <w:sz w:val="21"/>
                <w:szCs w:val="21"/>
                <w:lang w:val="en-US" w:eastAsia="zh-CN"/>
              </w:rPr>
              <w:t>最好矫正视力低于</w:t>
            </w:r>
          </w:p>
        </w:tc>
        <w:tc>
          <w:tcPr>
            <w:tcW w:w="3222" w:type="dxa"/>
            <w:shd w:val="clear" w:color="auto" w:fill="auto"/>
          </w:tcPr>
          <w:p>
            <w:pPr>
              <w:pStyle w:val="44"/>
              <w:jc w:val="center"/>
              <w:rPr>
                <w:rFonts w:ascii="宋体" w:hAnsi="宋体" w:eastAsia="宋体" w:cs="宋体"/>
                <w:sz w:val="21"/>
                <w:szCs w:val="21"/>
                <w:lang w:val="en-US" w:eastAsia="zh-CN"/>
              </w:rPr>
            </w:pPr>
            <w:r>
              <w:rPr>
                <w:rFonts w:hint="eastAsia" w:ascii="宋体" w:hAnsi="宋体" w:eastAsia="宋体" w:cs="宋体"/>
                <w:sz w:val="21"/>
                <w:szCs w:val="21"/>
                <w:lang w:val="en-US" w:eastAsia="zh-CN"/>
              </w:rPr>
              <w:t>最低矫正视力等于或优于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76" w:type="dxa"/>
            <w:vMerge w:val="restart"/>
            <w:shd w:val="clear" w:color="auto" w:fill="auto"/>
            <w:vAlign w:val="center"/>
          </w:tcPr>
          <w:p>
            <w:pPr>
              <w:pStyle w:val="44"/>
              <w:jc w:val="center"/>
              <w:rPr>
                <w:rFonts w:ascii="宋体" w:hAnsi="宋体" w:eastAsia="宋体" w:cs="宋体"/>
                <w:sz w:val="21"/>
                <w:szCs w:val="21"/>
                <w:lang w:val="en-US" w:eastAsia="zh-CN"/>
              </w:rPr>
            </w:pPr>
            <w:r>
              <w:rPr>
                <w:rFonts w:hint="eastAsia" w:ascii="宋体" w:hAnsi="宋体" w:eastAsia="宋体" w:cs="宋体"/>
                <w:sz w:val="21"/>
                <w:szCs w:val="21"/>
                <w:lang w:val="en-US" w:eastAsia="zh-CN"/>
              </w:rPr>
              <w:t>低视力</w:t>
            </w:r>
          </w:p>
        </w:tc>
        <w:tc>
          <w:tcPr>
            <w:tcW w:w="772" w:type="dxa"/>
            <w:shd w:val="clear" w:color="auto" w:fill="auto"/>
          </w:tcPr>
          <w:p>
            <w:pPr>
              <w:pStyle w:val="44"/>
              <w:jc w:val="center"/>
              <w:rPr>
                <w:rFonts w:ascii="宋体" w:hAnsi="宋体" w:eastAsia="宋体" w:cs="宋体"/>
                <w:sz w:val="21"/>
                <w:szCs w:val="21"/>
                <w:lang w:val="en-US" w:eastAsia="zh-CN"/>
              </w:rPr>
            </w:pPr>
            <w:r>
              <w:rPr>
                <w:rFonts w:ascii="宋体" w:hAnsi="宋体" w:eastAsia="宋体" w:cs="宋体"/>
                <w:sz w:val="21"/>
                <w:szCs w:val="21"/>
                <w:lang w:val="en-US" w:eastAsia="zh-CN"/>
              </w:rPr>
              <w:t>1</w:t>
            </w:r>
          </w:p>
        </w:tc>
        <w:tc>
          <w:tcPr>
            <w:tcW w:w="2552" w:type="dxa"/>
            <w:shd w:val="clear" w:color="auto" w:fill="auto"/>
          </w:tcPr>
          <w:p>
            <w:pPr>
              <w:pStyle w:val="44"/>
              <w:jc w:val="center"/>
              <w:rPr>
                <w:rFonts w:ascii="宋体" w:hAnsi="宋体" w:eastAsia="宋体" w:cs="宋体"/>
                <w:sz w:val="21"/>
                <w:szCs w:val="21"/>
                <w:lang w:val="en-US" w:eastAsia="zh-CN"/>
              </w:rPr>
            </w:pPr>
            <w:r>
              <w:rPr>
                <w:rFonts w:ascii="宋体" w:hAnsi="宋体" w:eastAsia="宋体" w:cs="宋体"/>
                <w:sz w:val="21"/>
                <w:szCs w:val="21"/>
                <w:lang w:val="en-US" w:eastAsia="zh-CN"/>
              </w:rPr>
              <w:t>0.3</w:t>
            </w:r>
          </w:p>
        </w:tc>
        <w:tc>
          <w:tcPr>
            <w:tcW w:w="3222" w:type="dxa"/>
            <w:shd w:val="clear" w:color="auto" w:fill="auto"/>
          </w:tcPr>
          <w:p>
            <w:pPr>
              <w:pStyle w:val="44"/>
              <w:jc w:val="center"/>
              <w:rPr>
                <w:rFonts w:ascii="宋体" w:hAnsi="宋体" w:eastAsia="宋体" w:cs="宋体"/>
                <w:sz w:val="21"/>
                <w:szCs w:val="21"/>
                <w:lang w:val="en-US" w:eastAsia="zh-CN"/>
              </w:rPr>
            </w:pPr>
            <w:r>
              <w:rPr>
                <w:rFonts w:ascii="宋体" w:hAnsi="宋体" w:eastAsia="宋体" w:cs="宋体"/>
                <w:sz w:val="21"/>
                <w:szCs w:val="21"/>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776" w:type="dxa"/>
            <w:vMerge w:val="continue"/>
            <w:shd w:val="clear" w:color="auto" w:fill="auto"/>
          </w:tcPr>
          <w:p>
            <w:pPr>
              <w:pStyle w:val="44"/>
              <w:jc w:val="center"/>
              <w:rPr>
                <w:rFonts w:ascii="宋体" w:hAnsi="宋体" w:eastAsia="宋体" w:cs="宋体"/>
                <w:sz w:val="21"/>
                <w:szCs w:val="21"/>
                <w:lang w:val="en-US" w:eastAsia="zh-CN"/>
              </w:rPr>
            </w:pPr>
          </w:p>
        </w:tc>
        <w:tc>
          <w:tcPr>
            <w:tcW w:w="772" w:type="dxa"/>
            <w:shd w:val="clear" w:color="auto" w:fill="auto"/>
          </w:tcPr>
          <w:p>
            <w:pPr>
              <w:pStyle w:val="44"/>
              <w:jc w:val="center"/>
              <w:rPr>
                <w:rFonts w:ascii="宋体" w:hAnsi="宋体" w:eastAsia="宋体" w:cs="宋体"/>
                <w:sz w:val="21"/>
                <w:szCs w:val="21"/>
                <w:lang w:val="en-US" w:eastAsia="zh-CN"/>
              </w:rPr>
            </w:pPr>
            <w:r>
              <w:rPr>
                <w:rFonts w:ascii="宋体" w:hAnsi="宋体" w:eastAsia="宋体" w:cs="宋体"/>
                <w:sz w:val="21"/>
                <w:szCs w:val="21"/>
                <w:lang w:val="en-US" w:eastAsia="zh-CN"/>
              </w:rPr>
              <w:t>2</w:t>
            </w:r>
          </w:p>
        </w:tc>
        <w:tc>
          <w:tcPr>
            <w:tcW w:w="2552" w:type="dxa"/>
            <w:shd w:val="clear" w:color="auto" w:fill="auto"/>
          </w:tcPr>
          <w:p>
            <w:pPr>
              <w:pStyle w:val="44"/>
              <w:jc w:val="center"/>
              <w:rPr>
                <w:rFonts w:ascii="宋体" w:hAnsi="宋体" w:eastAsia="宋体" w:cs="宋体"/>
                <w:sz w:val="21"/>
                <w:szCs w:val="21"/>
                <w:lang w:val="en-US" w:eastAsia="zh-CN"/>
              </w:rPr>
            </w:pPr>
            <w:r>
              <w:rPr>
                <w:rFonts w:ascii="宋体" w:hAnsi="宋体" w:eastAsia="宋体" w:cs="宋体"/>
                <w:sz w:val="21"/>
                <w:szCs w:val="21"/>
                <w:lang w:val="en-US" w:eastAsia="zh-CN"/>
              </w:rPr>
              <w:t>0.1</w:t>
            </w:r>
          </w:p>
        </w:tc>
        <w:tc>
          <w:tcPr>
            <w:tcW w:w="3222" w:type="dxa"/>
            <w:shd w:val="clear" w:color="auto" w:fill="auto"/>
          </w:tcPr>
          <w:p>
            <w:pPr>
              <w:pStyle w:val="44"/>
              <w:jc w:val="center"/>
              <w:rPr>
                <w:rFonts w:ascii="宋体" w:hAnsi="宋体" w:eastAsia="宋体" w:cs="宋体"/>
                <w:sz w:val="21"/>
                <w:szCs w:val="21"/>
                <w:lang w:val="en-US" w:eastAsia="zh-CN"/>
              </w:rPr>
            </w:pPr>
            <w:r>
              <w:rPr>
                <w:rFonts w:ascii="宋体" w:hAnsi="宋体" w:eastAsia="宋体" w:cs="宋体"/>
                <w:sz w:val="21"/>
                <w:szCs w:val="21"/>
                <w:lang w:val="en-US" w:eastAsia="zh-CN"/>
              </w:rPr>
              <w:t>0.05（三米指数）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776" w:type="dxa"/>
            <w:vMerge w:val="restart"/>
            <w:shd w:val="clear" w:color="auto" w:fill="auto"/>
            <w:vAlign w:val="center"/>
          </w:tcPr>
          <w:p>
            <w:pPr>
              <w:pStyle w:val="44"/>
              <w:jc w:val="center"/>
              <w:rPr>
                <w:rFonts w:ascii="宋体" w:hAnsi="宋体" w:eastAsia="宋体" w:cs="宋体"/>
                <w:sz w:val="21"/>
                <w:szCs w:val="21"/>
                <w:lang w:val="en-US" w:eastAsia="zh-CN"/>
              </w:rPr>
            </w:pPr>
            <w:r>
              <w:rPr>
                <w:rFonts w:hint="eastAsia" w:ascii="宋体" w:hAnsi="宋体" w:eastAsia="宋体" w:cs="宋体"/>
                <w:sz w:val="21"/>
                <w:szCs w:val="21"/>
                <w:lang w:val="en-US" w:eastAsia="zh-CN"/>
              </w:rPr>
              <w:t>盲目</w:t>
            </w:r>
          </w:p>
        </w:tc>
        <w:tc>
          <w:tcPr>
            <w:tcW w:w="772" w:type="dxa"/>
            <w:shd w:val="clear" w:color="auto" w:fill="auto"/>
          </w:tcPr>
          <w:p>
            <w:pPr>
              <w:pStyle w:val="44"/>
              <w:jc w:val="center"/>
              <w:rPr>
                <w:rFonts w:ascii="宋体" w:hAnsi="宋体" w:eastAsia="宋体" w:cs="宋体"/>
                <w:sz w:val="21"/>
                <w:szCs w:val="21"/>
                <w:lang w:val="en-US" w:eastAsia="zh-CN"/>
              </w:rPr>
            </w:pPr>
            <w:r>
              <w:rPr>
                <w:rFonts w:ascii="宋体" w:hAnsi="宋体" w:eastAsia="宋体" w:cs="宋体"/>
                <w:sz w:val="21"/>
                <w:szCs w:val="21"/>
                <w:lang w:val="en-US" w:eastAsia="zh-CN"/>
              </w:rPr>
              <w:t>3</w:t>
            </w:r>
          </w:p>
        </w:tc>
        <w:tc>
          <w:tcPr>
            <w:tcW w:w="2552" w:type="dxa"/>
            <w:shd w:val="clear" w:color="auto" w:fill="auto"/>
          </w:tcPr>
          <w:p>
            <w:pPr>
              <w:pStyle w:val="44"/>
              <w:jc w:val="center"/>
              <w:rPr>
                <w:rFonts w:ascii="宋体" w:hAnsi="宋体" w:eastAsia="宋体" w:cs="宋体"/>
                <w:sz w:val="21"/>
                <w:szCs w:val="21"/>
                <w:lang w:val="en-US" w:eastAsia="zh-CN"/>
              </w:rPr>
            </w:pPr>
            <w:r>
              <w:rPr>
                <w:rFonts w:ascii="宋体" w:hAnsi="宋体" w:eastAsia="宋体" w:cs="宋体"/>
                <w:sz w:val="21"/>
                <w:szCs w:val="21"/>
                <w:lang w:val="en-US" w:eastAsia="zh-CN"/>
              </w:rPr>
              <w:t>0.05</w:t>
            </w:r>
          </w:p>
        </w:tc>
        <w:tc>
          <w:tcPr>
            <w:tcW w:w="3222" w:type="dxa"/>
            <w:shd w:val="clear" w:color="auto" w:fill="auto"/>
          </w:tcPr>
          <w:p>
            <w:pPr>
              <w:pStyle w:val="44"/>
              <w:jc w:val="center"/>
              <w:rPr>
                <w:rFonts w:ascii="宋体" w:hAnsi="宋体" w:eastAsia="宋体" w:cs="宋体"/>
                <w:sz w:val="21"/>
                <w:szCs w:val="21"/>
                <w:lang w:val="en-US" w:eastAsia="zh-CN"/>
              </w:rPr>
            </w:pPr>
            <w:r>
              <w:rPr>
                <w:rFonts w:ascii="宋体" w:hAnsi="宋体" w:eastAsia="宋体" w:cs="宋体"/>
                <w:sz w:val="21"/>
                <w:szCs w:val="21"/>
                <w:lang w:val="en-US" w:eastAsia="zh-CN"/>
              </w:rPr>
              <w:t>0.02（一米指数）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76" w:type="dxa"/>
            <w:vMerge w:val="continue"/>
            <w:shd w:val="clear" w:color="auto" w:fill="auto"/>
          </w:tcPr>
          <w:p>
            <w:pPr>
              <w:pStyle w:val="44"/>
              <w:jc w:val="center"/>
              <w:rPr>
                <w:rFonts w:ascii="宋体" w:hAnsi="宋体" w:eastAsia="宋体" w:cs="宋体"/>
                <w:sz w:val="21"/>
                <w:szCs w:val="21"/>
                <w:lang w:val="en-US" w:eastAsia="zh-CN"/>
              </w:rPr>
            </w:pPr>
          </w:p>
        </w:tc>
        <w:tc>
          <w:tcPr>
            <w:tcW w:w="772" w:type="dxa"/>
            <w:shd w:val="clear" w:color="auto" w:fill="auto"/>
          </w:tcPr>
          <w:p>
            <w:pPr>
              <w:pStyle w:val="44"/>
              <w:jc w:val="center"/>
              <w:rPr>
                <w:rFonts w:ascii="宋体" w:hAnsi="宋体" w:eastAsia="宋体" w:cs="宋体"/>
                <w:sz w:val="21"/>
                <w:szCs w:val="21"/>
                <w:lang w:val="en-US" w:eastAsia="zh-CN"/>
              </w:rPr>
            </w:pPr>
            <w:r>
              <w:rPr>
                <w:rFonts w:ascii="宋体" w:hAnsi="宋体" w:eastAsia="宋体" w:cs="宋体"/>
                <w:sz w:val="21"/>
                <w:szCs w:val="21"/>
                <w:lang w:val="en-US" w:eastAsia="zh-CN"/>
              </w:rPr>
              <w:t>4</w:t>
            </w:r>
          </w:p>
        </w:tc>
        <w:tc>
          <w:tcPr>
            <w:tcW w:w="2552" w:type="dxa"/>
            <w:shd w:val="clear" w:color="auto" w:fill="auto"/>
          </w:tcPr>
          <w:p>
            <w:pPr>
              <w:pStyle w:val="44"/>
              <w:jc w:val="center"/>
              <w:rPr>
                <w:rFonts w:ascii="宋体" w:hAnsi="宋体" w:eastAsia="宋体" w:cs="宋体"/>
                <w:sz w:val="21"/>
                <w:szCs w:val="21"/>
                <w:lang w:val="en-US" w:eastAsia="zh-CN"/>
              </w:rPr>
            </w:pPr>
            <w:r>
              <w:rPr>
                <w:rFonts w:ascii="宋体" w:hAnsi="宋体" w:eastAsia="宋体" w:cs="宋体"/>
                <w:sz w:val="21"/>
                <w:szCs w:val="21"/>
                <w:lang w:val="en-US" w:eastAsia="zh-CN"/>
              </w:rPr>
              <w:t>0.02</w:t>
            </w:r>
          </w:p>
        </w:tc>
        <w:tc>
          <w:tcPr>
            <w:tcW w:w="3222" w:type="dxa"/>
            <w:shd w:val="clear" w:color="auto" w:fill="auto"/>
          </w:tcPr>
          <w:p>
            <w:pPr>
              <w:pStyle w:val="44"/>
              <w:jc w:val="center"/>
              <w:rPr>
                <w:rFonts w:ascii="宋体" w:hAnsi="宋体" w:eastAsia="宋体" w:cs="宋体"/>
                <w:sz w:val="21"/>
                <w:szCs w:val="21"/>
                <w:lang w:val="en-US" w:eastAsia="zh-CN"/>
              </w:rPr>
            </w:pPr>
            <w:r>
              <w:rPr>
                <w:rFonts w:hint="eastAsia" w:ascii="宋体" w:hAnsi="宋体" w:eastAsia="宋体" w:cs="宋体"/>
                <w:sz w:val="21"/>
                <w:szCs w:val="21"/>
                <w:lang w:val="en-US" w:eastAsia="zh-CN"/>
              </w:rPr>
              <w:t>光感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76" w:type="dxa"/>
            <w:vMerge w:val="continue"/>
            <w:shd w:val="clear" w:color="auto" w:fill="auto"/>
          </w:tcPr>
          <w:p>
            <w:pPr>
              <w:pStyle w:val="44"/>
              <w:jc w:val="center"/>
              <w:rPr>
                <w:rFonts w:ascii="宋体" w:hAnsi="宋体" w:eastAsia="宋体" w:cs="宋体"/>
                <w:sz w:val="21"/>
                <w:szCs w:val="21"/>
                <w:lang w:val="en-US" w:eastAsia="zh-CN"/>
              </w:rPr>
            </w:pPr>
          </w:p>
        </w:tc>
        <w:tc>
          <w:tcPr>
            <w:tcW w:w="772" w:type="dxa"/>
            <w:shd w:val="clear" w:color="auto" w:fill="auto"/>
          </w:tcPr>
          <w:p>
            <w:pPr>
              <w:pStyle w:val="44"/>
              <w:jc w:val="center"/>
              <w:rPr>
                <w:rFonts w:ascii="宋体" w:hAnsi="宋体" w:eastAsia="宋体" w:cs="宋体"/>
                <w:sz w:val="21"/>
                <w:szCs w:val="21"/>
                <w:lang w:val="en-US" w:eastAsia="zh-CN"/>
              </w:rPr>
            </w:pPr>
            <w:r>
              <w:rPr>
                <w:rFonts w:ascii="宋体" w:hAnsi="宋体" w:eastAsia="宋体" w:cs="宋体"/>
                <w:sz w:val="21"/>
                <w:szCs w:val="21"/>
                <w:lang w:val="en-US" w:eastAsia="zh-CN"/>
              </w:rPr>
              <w:t>5</w:t>
            </w:r>
          </w:p>
        </w:tc>
        <w:tc>
          <w:tcPr>
            <w:tcW w:w="5774" w:type="dxa"/>
            <w:gridSpan w:val="2"/>
            <w:shd w:val="clear" w:color="auto" w:fill="auto"/>
          </w:tcPr>
          <w:p>
            <w:pPr>
              <w:pStyle w:val="44"/>
              <w:jc w:val="center"/>
              <w:rPr>
                <w:rFonts w:ascii="宋体" w:hAnsi="宋体" w:eastAsia="宋体" w:cs="宋体"/>
                <w:sz w:val="21"/>
                <w:szCs w:val="21"/>
                <w:lang w:val="en-US" w:eastAsia="zh-CN"/>
              </w:rPr>
            </w:pPr>
            <w:r>
              <w:rPr>
                <w:rFonts w:hint="eastAsia" w:ascii="宋体" w:hAnsi="宋体" w:eastAsia="宋体" w:cs="宋体"/>
                <w:sz w:val="21"/>
                <w:szCs w:val="21"/>
                <w:lang w:val="en-US" w:eastAsia="zh-CN"/>
              </w:rPr>
              <w:t>无光感</w:t>
            </w:r>
          </w:p>
        </w:tc>
      </w:tr>
    </w:tbl>
    <w:p>
      <w:pPr>
        <w:pStyle w:val="44"/>
        <w:ind w:firstLine="420"/>
        <w:rPr>
          <w:rFonts w:ascii="宋体" w:hAnsi="宋体" w:eastAsia="宋体"/>
          <w:sz w:val="21"/>
          <w:szCs w:val="21"/>
        </w:rPr>
      </w:pPr>
      <w:r>
        <w:rPr>
          <w:rFonts w:hint="eastAsia" w:ascii="宋体" w:hAnsi="宋体" w:eastAsia="宋体"/>
          <w:sz w:val="21"/>
          <w:szCs w:val="21"/>
        </w:rPr>
        <w:t>如果中心视力好而视野缩小，以中央注视点为中心，视野直径小于</w:t>
      </w:r>
      <w:r>
        <w:rPr>
          <w:rFonts w:ascii="宋体" w:hAnsi="宋体" w:eastAsia="宋体"/>
          <w:sz w:val="21"/>
          <w:szCs w:val="21"/>
        </w:rPr>
        <w:t>20°而大于10°者为</w:t>
      </w:r>
      <w:r>
        <w:rPr>
          <w:rFonts w:hint="eastAsia" w:ascii="宋体" w:hAnsi="宋体" w:eastAsia="宋体"/>
          <w:sz w:val="21"/>
          <w:szCs w:val="21"/>
        </w:rPr>
        <w:t>盲目</w:t>
      </w:r>
      <w:r>
        <w:rPr>
          <w:rFonts w:ascii="宋体" w:hAnsi="宋体" w:eastAsia="宋体"/>
          <w:sz w:val="21"/>
          <w:szCs w:val="21"/>
        </w:rPr>
        <w:t>3级；如直径小于10°者为</w:t>
      </w:r>
      <w:r>
        <w:rPr>
          <w:rFonts w:hint="eastAsia" w:ascii="宋体" w:hAnsi="宋体" w:eastAsia="宋体"/>
          <w:sz w:val="21"/>
          <w:szCs w:val="21"/>
        </w:rPr>
        <w:t>盲目</w:t>
      </w:r>
      <w:r>
        <w:rPr>
          <w:rFonts w:ascii="宋体" w:hAnsi="宋体" w:eastAsia="宋体"/>
          <w:sz w:val="21"/>
          <w:szCs w:val="21"/>
        </w:rPr>
        <w:t>4级。</w:t>
      </w:r>
    </w:p>
    <w:p>
      <w:pPr>
        <w:pStyle w:val="44"/>
        <w:ind w:firstLine="360"/>
        <w:rPr>
          <w:rFonts w:ascii="宋体" w:hAnsi="宋体" w:eastAsia="宋体"/>
          <w:sz w:val="21"/>
          <w:szCs w:val="21"/>
        </w:rPr>
      </w:pPr>
      <w:r>
        <w:rPr>
          <w:rFonts w:hint="eastAsia" w:ascii="宋体" w:hAnsi="宋体" w:eastAsia="宋体"/>
          <w:sz w:val="21"/>
          <w:szCs w:val="21"/>
        </w:rPr>
        <w:t>本标准视力以矫正视力为准，经治疗而无法恢复者。</w:t>
      </w:r>
    </w:p>
    <w:p>
      <w:pPr>
        <w:pStyle w:val="44"/>
        <w:ind w:firstLine="42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eq \o\ac(○,2)</w:instrText>
      </w:r>
      <w:r>
        <w:rPr>
          <w:rFonts w:ascii="宋体" w:hAnsi="宋体" w:eastAsia="宋体"/>
          <w:sz w:val="21"/>
          <w:szCs w:val="21"/>
        </w:rPr>
        <w:fldChar w:fldCharType="end"/>
      </w:r>
      <w:r>
        <w:rPr>
          <w:rFonts w:hint="eastAsia" w:ascii="宋体" w:hAnsi="宋体" w:eastAsia="宋体"/>
          <w:sz w:val="21"/>
          <w:szCs w:val="21"/>
        </w:rPr>
        <w:t>视野缺损指因损伤导致眼球注视前方而不转动所能看到的空间范围缩窄，以致难以从事正常工作、学习或其他活动。</w:t>
      </w:r>
    </w:p>
    <w:p>
      <w:pPr>
        <w:ind w:firstLine="420"/>
        <w:contextualSpacing/>
        <w:rPr>
          <w:rFonts w:ascii="宋体" w:hAnsi="宋体"/>
          <w:szCs w:val="21"/>
        </w:rPr>
      </w:pPr>
    </w:p>
    <w:p>
      <w:pPr>
        <w:pStyle w:val="4"/>
        <w:numPr>
          <w:ilvl w:val="1"/>
          <w:numId w:val="1"/>
        </w:numPr>
        <w:ind w:left="0" w:firstLine="0"/>
        <w:contextualSpacing/>
        <w:rPr>
          <w:sz w:val="21"/>
          <w:szCs w:val="21"/>
        </w:rPr>
      </w:pPr>
      <w:bookmarkStart w:id="9" w:name="_Toc356463470"/>
      <w:r>
        <w:rPr>
          <w:rFonts w:hint="eastAsia"/>
          <w:sz w:val="21"/>
          <w:szCs w:val="21"/>
        </w:rPr>
        <w:t>眼球的晶状体结构损伤</w:t>
      </w:r>
      <w:bookmarkEnd w:id="9"/>
      <w:r>
        <w:rPr>
          <w:sz w:val="21"/>
          <w:szCs w:val="21"/>
        </w:rPr>
        <w:t xml:space="preserve">  </w:t>
      </w:r>
    </w:p>
    <w:p>
      <w:pPr>
        <w:pStyle w:val="44"/>
        <w:rPr>
          <w:rFonts w:ascii="宋体" w:hAnsi="宋体" w:eastAsia="宋体"/>
          <w:sz w:val="21"/>
          <w:szCs w:val="21"/>
        </w:rPr>
      </w:pPr>
    </w:p>
    <w:tbl>
      <w:tblPr>
        <w:tblStyle w:val="18"/>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21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外伤性白内障</w:t>
            </w:r>
          </w:p>
        </w:tc>
        <w:tc>
          <w:tcPr>
            <w:tcW w:w="107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10级</w:t>
            </w:r>
          </w:p>
        </w:tc>
      </w:tr>
    </w:tbl>
    <w:p>
      <w:pPr>
        <w:pStyle w:val="44"/>
        <w:rPr>
          <w:rFonts w:ascii="宋体" w:hAnsi="宋体" w:eastAsia="宋体"/>
          <w:sz w:val="21"/>
          <w:szCs w:val="21"/>
        </w:rPr>
      </w:pPr>
      <w:r>
        <w:rPr>
          <w:rFonts w:hint="eastAsia" w:ascii="宋体" w:hAnsi="宋体" w:eastAsia="宋体"/>
          <w:sz w:val="21"/>
          <w:szCs w:val="21"/>
        </w:rPr>
        <w:t>注：外伤性白内障：凡未做手术者，均适用本条；外伤性白内障术后遗留相关视功能障碍，参照有关条款评定伤残等级。</w:t>
      </w:r>
    </w:p>
    <w:p>
      <w:pPr>
        <w:ind w:firstLine="420"/>
        <w:contextualSpacing/>
        <w:rPr>
          <w:rFonts w:ascii="宋体" w:hAnsi="宋体"/>
          <w:szCs w:val="21"/>
        </w:rPr>
      </w:pPr>
    </w:p>
    <w:p>
      <w:pPr>
        <w:pStyle w:val="4"/>
        <w:numPr>
          <w:ilvl w:val="1"/>
          <w:numId w:val="1"/>
        </w:numPr>
        <w:ind w:left="0" w:firstLine="0"/>
        <w:contextualSpacing/>
        <w:rPr>
          <w:sz w:val="21"/>
          <w:szCs w:val="21"/>
        </w:rPr>
      </w:pPr>
      <w:bookmarkStart w:id="10" w:name="_Toc356463471"/>
      <w:r>
        <w:rPr>
          <w:rFonts w:hint="eastAsia"/>
          <w:sz w:val="21"/>
          <w:szCs w:val="21"/>
        </w:rPr>
        <w:t>眼睑结构损伤</w:t>
      </w:r>
      <w:bookmarkEnd w:id="10"/>
    </w:p>
    <w:p>
      <w:pPr>
        <w:ind w:firstLine="420"/>
        <w:contextualSpacing/>
        <w:rPr>
          <w:rFonts w:ascii="宋体" w:hAnsi="宋体"/>
          <w:szCs w:val="21"/>
        </w:rPr>
      </w:pPr>
    </w:p>
    <w:tbl>
      <w:tblPr>
        <w:tblStyle w:val="1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4"/>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7254" w:type="dxa"/>
            <w:shd w:val="clear" w:color="auto" w:fill="auto"/>
            <w:vAlign w:val="center"/>
          </w:tcPr>
          <w:p>
            <w:pPr>
              <w:pStyle w:val="46"/>
              <w:rPr>
                <w:rFonts w:cs="宋体"/>
                <w:sz w:val="21"/>
                <w:szCs w:val="21"/>
                <w:lang w:val="en-US" w:eastAsia="zh-CN"/>
              </w:rPr>
            </w:pPr>
            <w:bookmarkStart w:id="11" w:name="OLE_LINK7"/>
            <w:bookmarkStart w:id="12" w:name="OLE_LINK8"/>
            <w:r>
              <w:rPr>
                <w:rFonts w:hint="eastAsia" w:cs="宋体"/>
                <w:sz w:val="21"/>
                <w:szCs w:val="21"/>
                <w:lang w:val="en-US" w:eastAsia="zh-CN"/>
              </w:rPr>
              <w:t>双侧眼睑显著缺损</w:t>
            </w:r>
            <w:bookmarkEnd w:id="11"/>
            <w:bookmarkEnd w:id="12"/>
          </w:p>
        </w:tc>
        <w:tc>
          <w:tcPr>
            <w:tcW w:w="1105"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54"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双侧眼睑外翻</w:t>
            </w:r>
          </w:p>
        </w:tc>
        <w:tc>
          <w:tcPr>
            <w:tcW w:w="1105"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254"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双侧眼睑闭合不全</w:t>
            </w:r>
          </w:p>
        </w:tc>
        <w:tc>
          <w:tcPr>
            <w:tcW w:w="1105"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54"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一侧眼睑显著缺损</w:t>
            </w:r>
          </w:p>
        </w:tc>
        <w:tc>
          <w:tcPr>
            <w:tcW w:w="1105"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7254"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一侧眼睑外翻</w:t>
            </w:r>
          </w:p>
        </w:tc>
        <w:tc>
          <w:tcPr>
            <w:tcW w:w="1105" w:type="dxa"/>
            <w:shd w:val="clear" w:color="auto" w:fill="auto"/>
            <w:vAlign w:val="center"/>
          </w:tcPr>
          <w:p>
            <w:pPr>
              <w:pStyle w:val="46"/>
              <w:jc w:val="center"/>
              <w:rPr>
                <w:rFonts w:cs="宋体"/>
                <w:sz w:val="21"/>
                <w:szCs w:val="21"/>
                <w:lang w:val="en-US" w:eastAsia="zh-CN"/>
              </w:rPr>
            </w:pPr>
            <w:r>
              <w:rPr>
                <w:rFonts w:hint="eastAsia" w:cs="宋体"/>
                <w:sz w:val="21"/>
                <w:szCs w:val="21"/>
                <w:lang w:val="en-US" w:eastAsia="zh-CN"/>
              </w:rPr>
              <w:t>9</w:t>
            </w:r>
            <w:r>
              <w:rPr>
                <w:rFonts w:cs="宋体"/>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54"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一侧眼睑闭合不全</w:t>
            </w:r>
          </w:p>
        </w:tc>
        <w:tc>
          <w:tcPr>
            <w:tcW w:w="1105" w:type="dxa"/>
            <w:shd w:val="clear" w:color="auto" w:fill="auto"/>
            <w:vAlign w:val="center"/>
          </w:tcPr>
          <w:p>
            <w:pPr>
              <w:pStyle w:val="46"/>
              <w:jc w:val="center"/>
              <w:rPr>
                <w:rFonts w:cs="宋体"/>
                <w:sz w:val="21"/>
                <w:szCs w:val="21"/>
                <w:lang w:val="en-US" w:eastAsia="zh-CN"/>
              </w:rPr>
            </w:pPr>
            <w:r>
              <w:rPr>
                <w:rFonts w:hint="eastAsia" w:cs="宋体"/>
                <w:sz w:val="21"/>
                <w:szCs w:val="21"/>
                <w:lang w:val="en-US" w:eastAsia="zh-CN"/>
              </w:rPr>
              <w:t>9</w:t>
            </w:r>
            <w:r>
              <w:rPr>
                <w:rFonts w:cs="宋体"/>
                <w:sz w:val="21"/>
                <w:szCs w:val="21"/>
                <w:lang w:val="en-US" w:eastAsia="zh-CN"/>
              </w:rPr>
              <w:t>级</w:t>
            </w:r>
          </w:p>
        </w:tc>
      </w:tr>
    </w:tbl>
    <w:p>
      <w:pPr>
        <w:pStyle w:val="44"/>
        <w:rPr>
          <w:rFonts w:ascii="宋体" w:hAnsi="宋体" w:eastAsia="宋体"/>
          <w:sz w:val="21"/>
          <w:szCs w:val="21"/>
        </w:rPr>
      </w:pPr>
      <w:r>
        <w:rPr>
          <w:rFonts w:hint="eastAsia" w:ascii="宋体" w:hAnsi="宋体" w:eastAsia="宋体"/>
          <w:sz w:val="21"/>
          <w:szCs w:val="21"/>
        </w:rPr>
        <w:t>注：眼睑显著缺损指</w:t>
      </w:r>
      <w:r>
        <w:rPr>
          <w:rFonts w:ascii="宋体" w:hAnsi="宋体" w:eastAsia="宋体"/>
          <w:sz w:val="21"/>
          <w:szCs w:val="21"/>
        </w:rPr>
        <w:t>闭眼时眼睑不能完全覆盖角膜</w:t>
      </w:r>
      <w:r>
        <w:rPr>
          <w:rFonts w:hint="eastAsia" w:ascii="宋体" w:hAnsi="宋体" w:eastAsia="宋体"/>
          <w:sz w:val="21"/>
          <w:szCs w:val="21"/>
        </w:rPr>
        <w:t>。</w:t>
      </w:r>
    </w:p>
    <w:p>
      <w:pPr>
        <w:ind w:firstLine="420"/>
        <w:contextualSpacing/>
        <w:rPr>
          <w:rFonts w:ascii="宋体" w:hAnsi="宋体"/>
          <w:szCs w:val="21"/>
        </w:rPr>
      </w:pPr>
    </w:p>
    <w:p>
      <w:pPr>
        <w:pStyle w:val="4"/>
        <w:numPr>
          <w:ilvl w:val="1"/>
          <w:numId w:val="1"/>
        </w:numPr>
        <w:ind w:left="0" w:firstLine="0"/>
        <w:contextualSpacing/>
        <w:rPr>
          <w:sz w:val="21"/>
          <w:szCs w:val="21"/>
        </w:rPr>
      </w:pPr>
      <w:bookmarkStart w:id="13" w:name="_Toc356463472"/>
      <w:r>
        <w:rPr>
          <w:rFonts w:hint="eastAsia"/>
          <w:sz w:val="21"/>
          <w:szCs w:val="21"/>
        </w:rPr>
        <w:t>耳廓结构损伤或听功能障碍</w:t>
      </w:r>
      <w:bookmarkEnd w:id="13"/>
    </w:p>
    <w:p>
      <w:pPr>
        <w:ind w:firstLine="420"/>
        <w:rPr>
          <w:rFonts w:ascii="宋体" w:hAnsi="宋体"/>
          <w:szCs w:val="21"/>
        </w:rPr>
      </w:pPr>
      <w:r>
        <w:rPr>
          <w:rFonts w:hint="eastAsia" w:ascii="宋体" w:hAnsi="宋体"/>
          <w:szCs w:val="21"/>
        </w:rPr>
        <w:t>听功能是指与感受存在的声音和辨别方位、音调、音量和音质有关的感觉功能。</w:t>
      </w:r>
    </w:p>
    <w:p>
      <w:pPr>
        <w:ind w:firstLine="420"/>
        <w:contextualSpacing/>
        <w:rPr>
          <w:rFonts w:ascii="宋体" w:hAnsi="宋体"/>
          <w:szCs w:val="21"/>
        </w:rPr>
      </w:pPr>
    </w:p>
    <w:tbl>
      <w:tblPr>
        <w:tblStyle w:val="18"/>
        <w:tblW w:w="8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9"/>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39" w:type="dxa"/>
            <w:shd w:val="clear" w:color="auto" w:fill="auto"/>
            <w:vAlign w:val="center"/>
          </w:tcPr>
          <w:p>
            <w:pPr>
              <w:pStyle w:val="46"/>
              <w:rPr>
                <w:rFonts w:cs="宋体"/>
                <w:sz w:val="21"/>
                <w:szCs w:val="21"/>
                <w:lang w:val="en-US" w:eastAsia="zh-CN"/>
              </w:rPr>
            </w:pPr>
            <w:bookmarkStart w:id="14" w:name="OLE_LINK9"/>
            <w:bookmarkStart w:id="15" w:name="OLE_LINK10"/>
            <w:r>
              <w:rPr>
                <w:rFonts w:hint="eastAsia" w:cs="宋体"/>
                <w:sz w:val="21"/>
                <w:szCs w:val="21"/>
                <w:lang w:val="en-US" w:eastAsia="zh-CN"/>
              </w:rPr>
              <w:t>双耳听力损失大于等于</w:t>
            </w:r>
            <w:r>
              <w:rPr>
                <w:rFonts w:cs="宋体"/>
                <w:sz w:val="21"/>
                <w:szCs w:val="21"/>
                <w:lang w:val="en-US" w:eastAsia="zh-CN"/>
              </w:rPr>
              <w:t>91dB，且双侧耳廓缺失</w:t>
            </w:r>
          </w:p>
        </w:tc>
        <w:tc>
          <w:tcPr>
            <w:tcW w:w="109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23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双耳听力损失大于等于</w:t>
            </w:r>
            <w:r>
              <w:rPr>
                <w:rFonts w:cs="宋体"/>
                <w:sz w:val="21"/>
                <w:szCs w:val="21"/>
                <w:lang w:val="en-US" w:eastAsia="zh-CN"/>
              </w:rPr>
              <w:t>91dB</w:t>
            </w:r>
            <w:r>
              <w:rPr>
                <w:rFonts w:hint="eastAsia" w:cs="宋体"/>
                <w:sz w:val="21"/>
                <w:szCs w:val="21"/>
                <w:lang w:val="en-US" w:eastAsia="zh-CN"/>
              </w:rPr>
              <w:t>，且一侧耳廓缺失</w:t>
            </w:r>
          </w:p>
        </w:tc>
        <w:tc>
          <w:tcPr>
            <w:tcW w:w="109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23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一耳听力损失大于等于</w:t>
            </w:r>
            <w:r>
              <w:rPr>
                <w:rFonts w:cs="宋体"/>
                <w:sz w:val="21"/>
                <w:szCs w:val="21"/>
                <w:lang w:val="en-US" w:eastAsia="zh-CN"/>
              </w:rPr>
              <w:t>91dB，另一耳听力损失大于等于71dB，且一侧耳廓缺失，另一侧耳廓缺失大于等于50%</w:t>
            </w:r>
          </w:p>
        </w:tc>
        <w:tc>
          <w:tcPr>
            <w:tcW w:w="109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3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双耳听力损失大于等于</w:t>
            </w:r>
            <w:r>
              <w:rPr>
                <w:rFonts w:cs="宋体"/>
                <w:sz w:val="21"/>
                <w:szCs w:val="21"/>
                <w:lang w:val="en-US" w:eastAsia="zh-CN"/>
              </w:rPr>
              <w:t>71dB，且双侧耳廓缺失</w:t>
            </w:r>
          </w:p>
        </w:tc>
        <w:tc>
          <w:tcPr>
            <w:tcW w:w="109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3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双耳听力损失大于等于</w:t>
            </w:r>
            <w:r>
              <w:rPr>
                <w:rFonts w:cs="宋体"/>
                <w:sz w:val="21"/>
                <w:szCs w:val="21"/>
                <w:lang w:val="en-US" w:eastAsia="zh-CN"/>
              </w:rPr>
              <w:t>71dB</w:t>
            </w:r>
            <w:r>
              <w:rPr>
                <w:rFonts w:hint="eastAsia" w:cs="宋体"/>
                <w:sz w:val="21"/>
                <w:szCs w:val="21"/>
                <w:lang w:val="en-US" w:eastAsia="zh-CN"/>
              </w:rPr>
              <w:t>，且一侧耳廓缺失</w:t>
            </w:r>
          </w:p>
        </w:tc>
        <w:tc>
          <w:tcPr>
            <w:tcW w:w="109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3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双耳听力损失大于等于</w:t>
            </w:r>
            <w:r>
              <w:rPr>
                <w:rFonts w:cs="宋体"/>
                <w:sz w:val="21"/>
                <w:szCs w:val="21"/>
                <w:lang w:val="en-US" w:eastAsia="zh-CN"/>
              </w:rPr>
              <w:t>56dB</w:t>
            </w:r>
            <w:r>
              <w:rPr>
                <w:rFonts w:hint="eastAsia" w:cs="宋体"/>
                <w:sz w:val="21"/>
                <w:szCs w:val="21"/>
                <w:lang w:val="en-US" w:eastAsia="zh-CN"/>
              </w:rPr>
              <w:t>，且双侧耳廓缺失</w:t>
            </w:r>
          </w:p>
        </w:tc>
        <w:tc>
          <w:tcPr>
            <w:tcW w:w="109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23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一耳听力损失大于等于</w:t>
            </w:r>
            <w:r>
              <w:rPr>
                <w:rFonts w:cs="宋体"/>
                <w:sz w:val="21"/>
                <w:szCs w:val="21"/>
                <w:lang w:val="en-US" w:eastAsia="zh-CN"/>
              </w:rPr>
              <w:t>91dB，另一耳听力损失大于等于71dB，且一侧耳廓缺失大于等于50%</w:t>
            </w:r>
          </w:p>
        </w:tc>
        <w:tc>
          <w:tcPr>
            <w:tcW w:w="109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23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双耳听力损失大于等于</w:t>
            </w:r>
            <w:r>
              <w:rPr>
                <w:rFonts w:cs="宋体"/>
                <w:sz w:val="21"/>
                <w:szCs w:val="21"/>
                <w:lang w:val="en-US" w:eastAsia="zh-CN"/>
              </w:rPr>
              <w:t>71dB，且一侧耳廓缺失大于等于50%</w:t>
            </w:r>
          </w:p>
        </w:tc>
        <w:tc>
          <w:tcPr>
            <w:tcW w:w="109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723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双耳听力损失大于等于</w:t>
            </w:r>
            <w:r>
              <w:rPr>
                <w:rFonts w:cs="宋体"/>
                <w:sz w:val="21"/>
                <w:szCs w:val="21"/>
                <w:lang w:val="en-US" w:eastAsia="zh-CN"/>
              </w:rPr>
              <w:t>56dB，且一侧耳廓缺失</w:t>
            </w:r>
          </w:p>
        </w:tc>
        <w:tc>
          <w:tcPr>
            <w:tcW w:w="109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23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双侧耳廓缺失</w:t>
            </w:r>
          </w:p>
        </w:tc>
        <w:tc>
          <w:tcPr>
            <w:tcW w:w="109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3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一侧耳廓缺失，且另一侧耳廓缺失大于等于</w:t>
            </w:r>
            <w:r>
              <w:rPr>
                <w:rFonts w:cs="宋体"/>
                <w:sz w:val="21"/>
                <w:szCs w:val="21"/>
                <w:lang w:val="en-US" w:eastAsia="zh-CN"/>
              </w:rPr>
              <w:t>50%</w:t>
            </w:r>
          </w:p>
        </w:tc>
        <w:tc>
          <w:tcPr>
            <w:tcW w:w="109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3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一侧耳廓缺失</w:t>
            </w:r>
          </w:p>
        </w:tc>
        <w:tc>
          <w:tcPr>
            <w:tcW w:w="109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7239"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一侧耳廓缺失大于等于</w:t>
            </w:r>
            <w:r>
              <w:rPr>
                <w:rFonts w:cs="宋体"/>
                <w:sz w:val="21"/>
                <w:szCs w:val="21"/>
                <w:lang w:val="en-US" w:eastAsia="zh-CN"/>
              </w:rPr>
              <w:t>50%</w:t>
            </w:r>
          </w:p>
        </w:tc>
        <w:tc>
          <w:tcPr>
            <w:tcW w:w="1090"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9级</w:t>
            </w:r>
          </w:p>
        </w:tc>
      </w:tr>
      <w:bookmarkEnd w:id="14"/>
      <w:bookmarkEnd w:id="15"/>
    </w:tbl>
    <w:p>
      <w:pPr>
        <w:ind w:firstLine="420"/>
        <w:contextualSpacing/>
        <w:rPr>
          <w:rFonts w:ascii="宋体" w:hAnsi="宋体"/>
          <w:szCs w:val="21"/>
        </w:rPr>
      </w:pPr>
    </w:p>
    <w:p>
      <w:pPr>
        <w:pStyle w:val="4"/>
        <w:numPr>
          <w:ilvl w:val="1"/>
          <w:numId w:val="1"/>
        </w:numPr>
        <w:ind w:left="0" w:firstLine="0"/>
        <w:contextualSpacing/>
        <w:rPr>
          <w:sz w:val="21"/>
          <w:szCs w:val="21"/>
        </w:rPr>
      </w:pPr>
      <w:bookmarkStart w:id="16" w:name="_Toc356463473"/>
      <w:r>
        <w:rPr>
          <w:rFonts w:hint="eastAsia"/>
          <w:sz w:val="21"/>
          <w:szCs w:val="21"/>
        </w:rPr>
        <w:t>听功能障碍</w:t>
      </w:r>
      <w:bookmarkEnd w:id="16"/>
    </w:p>
    <w:p>
      <w:pPr>
        <w:pStyle w:val="46"/>
        <w:ind w:firstLine="480"/>
        <w:rPr>
          <w:sz w:val="21"/>
          <w:szCs w:val="21"/>
        </w:rPr>
      </w:pPr>
    </w:p>
    <w:tbl>
      <w:tblPr>
        <w:tblStyle w:val="18"/>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0"/>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210" w:type="dxa"/>
            <w:shd w:val="clear" w:color="auto" w:fill="auto"/>
            <w:vAlign w:val="center"/>
          </w:tcPr>
          <w:p>
            <w:pPr>
              <w:pStyle w:val="46"/>
              <w:rPr>
                <w:rFonts w:cs="宋体"/>
                <w:sz w:val="21"/>
                <w:szCs w:val="21"/>
                <w:lang w:val="en-US" w:eastAsia="zh-CN"/>
              </w:rPr>
            </w:pPr>
            <w:bookmarkStart w:id="17" w:name="OLE_LINK5"/>
            <w:bookmarkStart w:id="18" w:name="OLE_LINK6"/>
            <w:r>
              <w:rPr>
                <w:rFonts w:hint="eastAsia" w:cs="宋体"/>
                <w:sz w:val="21"/>
                <w:szCs w:val="21"/>
                <w:lang w:val="en-US" w:eastAsia="zh-CN"/>
              </w:rPr>
              <w:t>双耳听力损失大于等于</w:t>
            </w:r>
            <w:r>
              <w:rPr>
                <w:rFonts w:cs="宋体"/>
                <w:sz w:val="21"/>
                <w:szCs w:val="21"/>
                <w:lang w:val="en-US" w:eastAsia="zh-CN"/>
              </w:rPr>
              <w:t>91dB</w:t>
            </w:r>
          </w:p>
        </w:tc>
        <w:tc>
          <w:tcPr>
            <w:tcW w:w="106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10"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双耳听力损失大于等于</w:t>
            </w:r>
            <w:r>
              <w:rPr>
                <w:rFonts w:cs="宋体"/>
                <w:sz w:val="21"/>
                <w:szCs w:val="21"/>
                <w:lang w:val="en-US" w:eastAsia="zh-CN"/>
              </w:rPr>
              <w:t>81dB</w:t>
            </w:r>
          </w:p>
        </w:tc>
        <w:tc>
          <w:tcPr>
            <w:tcW w:w="106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0"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一耳听力损失大于等于</w:t>
            </w:r>
            <w:r>
              <w:rPr>
                <w:rFonts w:cs="宋体"/>
                <w:sz w:val="21"/>
                <w:szCs w:val="21"/>
                <w:lang w:val="en-US" w:eastAsia="zh-CN"/>
              </w:rPr>
              <w:t>91dB，且另一耳听力损失大于等于71dB</w:t>
            </w:r>
          </w:p>
        </w:tc>
        <w:tc>
          <w:tcPr>
            <w:tcW w:w="106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0"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双耳听力损失大于等于</w:t>
            </w:r>
            <w:r>
              <w:rPr>
                <w:rFonts w:cs="宋体"/>
                <w:sz w:val="21"/>
                <w:szCs w:val="21"/>
                <w:lang w:val="en-US" w:eastAsia="zh-CN"/>
              </w:rPr>
              <w:t>71dB</w:t>
            </w:r>
          </w:p>
        </w:tc>
        <w:tc>
          <w:tcPr>
            <w:tcW w:w="106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210"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一耳听力损失大于等于</w:t>
            </w:r>
            <w:r>
              <w:rPr>
                <w:rFonts w:cs="宋体"/>
                <w:sz w:val="21"/>
                <w:szCs w:val="21"/>
                <w:lang w:val="en-US" w:eastAsia="zh-CN"/>
              </w:rPr>
              <w:t>91dB，且另一耳听力损失大于等于56dB</w:t>
            </w:r>
          </w:p>
        </w:tc>
        <w:tc>
          <w:tcPr>
            <w:tcW w:w="106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10"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一耳听力损失大于等于</w:t>
            </w:r>
            <w:r>
              <w:rPr>
                <w:rFonts w:cs="宋体"/>
                <w:sz w:val="21"/>
                <w:szCs w:val="21"/>
                <w:lang w:val="en-US" w:eastAsia="zh-CN"/>
              </w:rPr>
              <w:t>91dB，且另一耳听力损失大于等于41dB</w:t>
            </w:r>
          </w:p>
        </w:tc>
        <w:tc>
          <w:tcPr>
            <w:tcW w:w="106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10"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一耳听力损失大于等于</w:t>
            </w:r>
            <w:r>
              <w:rPr>
                <w:rFonts w:cs="宋体"/>
                <w:sz w:val="21"/>
                <w:szCs w:val="21"/>
                <w:lang w:val="en-US" w:eastAsia="zh-CN"/>
              </w:rPr>
              <w:t>71dB，且另一耳听力损失大于等于56dB</w:t>
            </w:r>
          </w:p>
        </w:tc>
        <w:tc>
          <w:tcPr>
            <w:tcW w:w="106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10"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一耳听力损失大于等于</w:t>
            </w:r>
            <w:r>
              <w:rPr>
                <w:rFonts w:cs="宋体"/>
                <w:sz w:val="21"/>
                <w:szCs w:val="21"/>
                <w:lang w:val="en-US" w:eastAsia="zh-CN"/>
              </w:rPr>
              <w:t>71dB，且另一耳听力损失大于等于41dB</w:t>
            </w:r>
          </w:p>
        </w:tc>
        <w:tc>
          <w:tcPr>
            <w:tcW w:w="106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0"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一耳听力损失大于等于</w:t>
            </w:r>
            <w:r>
              <w:rPr>
                <w:rFonts w:cs="宋体"/>
                <w:sz w:val="21"/>
                <w:szCs w:val="21"/>
                <w:lang w:val="en-US" w:eastAsia="zh-CN"/>
              </w:rPr>
              <w:t>91dB</w:t>
            </w:r>
          </w:p>
        </w:tc>
        <w:tc>
          <w:tcPr>
            <w:tcW w:w="106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10"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一耳听力损失大于等于</w:t>
            </w:r>
            <w:r>
              <w:rPr>
                <w:rFonts w:cs="宋体"/>
                <w:sz w:val="21"/>
                <w:szCs w:val="21"/>
                <w:lang w:val="en-US" w:eastAsia="zh-CN"/>
              </w:rPr>
              <w:t xml:space="preserve">56dB，且另一耳听力损失大于等于41dB </w:t>
            </w:r>
          </w:p>
        </w:tc>
        <w:tc>
          <w:tcPr>
            <w:tcW w:w="106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0"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一耳听力损失大于等于</w:t>
            </w:r>
            <w:r>
              <w:rPr>
                <w:rFonts w:cs="宋体"/>
                <w:sz w:val="21"/>
                <w:szCs w:val="21"/>
                <w:lang w:val="en-US" w:eastAsia="zh-CN"/>
              </w:rPr>
              <w:t>71dB</w:t>
            </w:r>
          </w:p>
        </w:tc>
        <w:tc>
          <w:tcPr>
            <w:tcW w:w="106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0"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双耳听力损失大于等于</w:t>
            </w:r>
            <w:r>
              <w:rPr>
                <w:rFonts w:cs="宋体"/>
                <w:sz w:val="21"/>
                <w:szCs w:val="21"/>
                <w:lang w:val="en-US" w:eastAsia="zh-CN"/>
              </w:rPr>
              <w:t>26dB</w:t>
            </w:r>
          </w:p>
        </w:tc>
        <w:tc>
          <w:tcPr>
            <w:tcW w:w="106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0"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一耳听力损失大于等于</w:t>
            </w:r>
            <w:r>
              <w:rPr>
                <w:rFonts w:cs="宋体"/>
                <w:sz w:val="21"/>
                <w:szCs w:val="21"/>
                <w:lang w:val="en-US" w:eastAsia="zh-CN"/>
              </w:rPr>
              <w:t>56dB</w:t>
            </w:r>
          </w:p>
        </w:tc>
        <w:tc>
          <w:tcPr>
            <w:tcW w:w="106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10级</w:t>
            </w:r>
          </w:p>
        </w:tc>
      </w:tr>
      <w:bookmarkEnd w:id="17"/>
      <w:bookmarkEnd w:id="18"/>
    </w:tbl>
    <w:p>
      <w:pPr>
        <w:ind w:firstLine="420"/>
        <w:contextualSpacing/>
        <w:rPr>
          <w:rFonts w:ascii="宋体" w:hAnsi="宋体"/>
          <w:szCs w:val="21"/>
        </w:rPr>
      </w:pPr>
    </w:p>
    <w:p>
      <w:pPr>
        <w:pStyle w:val="3"/>
        <w:numPr>
          <w:ilvl w:val="0"/>
          <w:numId w:val="1"/>
        </w:numPr>
        <w:contextualSpacing/>
        <w:rPr>
          <w:rFonts w:ascii="宋体" w:hAnsi="宋体"/>
          <w:sz w:val="21"/>
          <w:szCs w:val="21"/>
        </w:rPr>
      </w:pPr>
      <w:bookmarkStart w:id="19" w:name="_Toc356463474"/>
      <w:r>
        <w:rPr>
          <w:rFonts w:hint="eastAsia" w:ascii="宋体" w:hAnsi="宋体"/>
          <w:sz w:val="21"/>
          <w:szCs w:val="21"/>
        </w:rPr>
        <w:t>发声和言语的结构和功能</w:t>
      </w:r>
      <w:bookmarkEnd w:id="19"/>
    </w:p>
    <w:p>
      <w:pPr>
        <w:pStyle w:val="4"/>
        <w:numPr>
          <w:ilvl w:val="1"/>
          <w:numId w:val="1"/>
        </w:numPr>
        <w:ind w:left="0" w:firstLine="0"/>
        <w:contextualSpacing/>
        <w:rPr>
          <w:sz w:val="21"/>
          <w:szCs w:val="21"/>
        </w:rPr>
      </w:pPr>
      <w:bookmarkStart w:id="20" w:name="_Toc356463475"/>
      <w:r>
        <w:rPr>
          <w:rFonts w:hint="eastAsia"/>
          <w:sz w:val="21"/>
          <w:szCs w:val="21"/>
        </w:rPr>
        <w:t>鼻的结构损伤</w:t>
      </w:r>
      <w:bookmarkEnd w:id="20"/>
    </w:p>
    <w:p>
      <w:pPr>
        <w:ind w:firstLine="420"/>
        <w:contextualSpacing/>
        <w:rPr>
          <w:rFonts w:ascii="宋体" w:hAnsi="宋体"/>
          <w:szCs w:val="21"/>
        </w:rPr>
      </w:pPr>
    </w:p>
    <w:tbl>
      <w:tblPr>
        <w:tblStyle w:val="18"/>
        <w:tblW w:w="8245"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2"/>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trPr>
        <w:tc>
          <w:tcPr>
            <w:tcW w:w="7202" w:type="dxa"/>
            <w:shd w:val="clear" w:color="auto" w:fill="auto"/>
          </w:tcPr>
          <w:p>
            <w:pPr>
              <w:pStyle w:val="46"/>
              <w:rPr>
                <w:rFonts w:cs="宋体"/>
                <w:sz w:val="21"/>
                <w:szCs w:val="21"/>
                <w:lang w:val="en-US" w:eastAsia="zh-CN"/>
              </w:rPr>
            </w:pPr>
            <w:r>
              <w:rPr>
                <w:rFonts w:hint="eastAsia" w:cs="宋体"/>
                <w:sz w:val="21"/>
                <w:szCs w:val="21"/>
                <w:lang w:val="en-US" w:eastAsia="zh-CN"/>
              </w:rPr>
              <w:t>外鼻部完全缺失</w:t>
            </w:r>
          </w:p>
        </w:tc>
        <w:tc>
          <w:tcPr>
            <w:tcW w:w="1043"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2" w:type="dxa"/>
            <w:shd w:val="clear" w:color="auto" w:fill="auto"/>
          </w:tcPr>
          <w:p>
            <w:pPr>
              <w:pStyle w:val="46"/>
              <w:rPr>
                <w:rFonts w:cs="宋体"/>
                <w:sz w:val="21"/>
                <w:szCs w:val="21"/>
                <w:lang w:val="en-US" w:eastAsia="zh-CN"/>
              </w:rPr>
            </w:pPr>
            <w:r>
              <w:rPr>
                <w:rFonts w:hint="eastAsia" w:cs="宋体"/>
                <w:sz w:val="21"/>
                <w:szCs w:val="21"/>
                <w:lang w:val="en-US" w:eastAsia="zh-CN"/>
              </w:rPr>
              <w:t>外鼻部大部分缺损</w:t>
            </w:r>
          </w:p>
        </w:tc>
        <w:tc>
          <w:tcPr>
            <w:tcW w:w="1043"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7202" w:type="dxa"/>
            <w:shd w:val="clear" w:color="auto" w:fill="auto"/>
          </w:tcPr>
          <w:p>
            <w:pPr>
              <w:pStyle w:val="46"/>
              <w:rPr>
                <w:rFonts w:cs="宋体"/>
                <w:sz w:val="21"/>
                <w:szCs w:val="21"/>
                <w:lang w:val="en-US" w:eastAsia="zh-CN"/>
              </w:rPr>
            </w:pPr>
            <w:r>
              <w:rPr>
                <w:rFonts w:hint="eastAsia" w:cs="宋体"/>
                <w:sz w:val="21"/>
                <w:szCs w:val="21"/>
                <w:lang w:val="en-US" w:eastAsia="zh-CN"/>
              </w:rPr>
              <w:t>鼻尖及一侧鼻翼缺损</w:t>
            </w:r>
          </w:p>
        </w:tc>
        <w:tc>
          <w:tcPr>
            <w:tcW w:w="1043"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202" w:type="dxa"/>
            <w:shd w:val="clear" w:color="auto" w:fill="auto"/>
          </w:tcPr>
          <w:p>
            <w:pPr>
              <w:pStyle w:val="46"/>
              <w:rPr>
                <w:rFonts w:cs="宋体"/>
                <w:sz w:val="21"/>
                <w:szCs w:val="21"/>
                <w:lang w:val="en-US" w:eastAsia="zh-CN"/>
              </w:rPr>
            </w:pPr>
            <w:r>
              <w:rPr>
                <w:rFonts w:hint="eastAsia" w:cs="宋体"/>
                <w:sz w:val="21"/>
                <w:szCs w:val="21"/>
                <w:lang w:val="en-US" w:eastAsia="zh-CN"/>
              </w:rPr>
              <w:t>双侧鼻腔或鼻咽部闭锁</w:t>
            </w:r>
          </w:p>
        </w:tc>
        <w:tc>
          <w:tcPr>
            <w:tcW w:w="1043"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trPr>
        <w:tc>
          <w:tcPr>
            <w:tcW w:w="7202" w:type="dxa"/>
            <w:shd w:val="clear" w:color="auto" w:fill="auto"/>
          </w:tcPr>
          <w:p>
            <w:pPr>
              <w:pStyle w:val="46"/>
              <w:rPr>
                <w:rFonts w:cs="宋体"/>
                <w:sz w:val="21"/>
                <w:szCs w:val="21"/>
                <w:lang w:val="en-US" w:eastAsia="zh-CN"/>
              </w:rPr>
            </w:pPr>
            <w:r>
              <w:rPr>
                <w:rFonts w:hint="eastAsia" w:cs="宋体"/>
                <w:sz w:val="21"/>
                <w:szCs w:val="21"/>
                <w:lang w:val="en-US" w:eastAsia="zh-CN"/>
              </w:rPr>
              <w:t>一侧鼻翼缺损</w:t>
            </w:r>
          </w:p>
        </w:tc>
        <w:tc>
          <w:tcPr>
            <w:tcW w:w="1043"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trPr>
        <w:tc>
          <w:tcPr>
            <w:tcW w:w="7202" w:type="dxa"/>
            <w:shd w:val="clear" w:color="auto" w:fill="auto"/>
          </w:tcPr>
          <w:p>
            <w:pPr>
              <w:pStyle w:val="46"/>
              <w:rPr>
                <w:rFonts w:cs="宋体"/>
                <w:sz w:val="21"/>
                <w:szCs w:val="21"/>
                <w:lang w:val="en-US" w:eastAsia="zh-CN"/>
              </w:rPr>
            </w:pPr>
            <w:r>
              <w:rPr>
                <w:rFonts w:hint="eastAsia" w:cs="宋体"/>
                <w:sz w:val="21"/>
                <w:szCs w:val="21"/>
                <w:lang w:val="en-US" w:eastAsia="zh-CN"/>
              </w:rPr>
              <w:t>单侧鼻腔或鼻孔闭锁</w:t>
            </w:r>
          </w:p>
        </w:tc>
        <w:tc>
          <w:tcPr>
            <w:tcW w:w="1043"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10级</w:t>
            </w:r>
          </w:p>
        </w:tc>
      </w:tr>
    </w:tbl>
    <w:p>
      <w:pPr>
        <w:ind w:firstLine="420"/>
        <w:contextualSpacing/>
        <w:rPr>
          <w:rFonts w:ascii="宋体" w:hAnsi="宋体"/>
          <w:szCs w:val="21"/>
        </w:rPr>
      </w:pPr>
    </w:p>
    <w:p>
      <w:pPr>
        <w:pStyle w:val="4"/>
        <w:numPr>
          <w:ilvl w:val="1"/>
          <w:numId w:val="1"/>
        </w:numPr>
        <w:ind w:left="0" w:firstLine="0"/>
        <w:contextualSpacing/>
        <w:rPr>
          <w:sz w:val="21"/>
          <w:szCs w:val="21"/>
        </w:rPr>
      </w:pPr>
      <w:bookmarkStart w:id="21" w:name="_Toc356463476"/>
      <w:r>
        <w:rPr>
          <w:rFonts w:hint="eastAsia"/>
          <w:sz w:val="21"/>
          <w:szCs w:val="21"/>
        </w:rPr>
        <w:t>口腔的结构损伤</w:t>
      </w:r>
      <w:bookmarkEnd w:id="21"/>
    </w:p>
    <w:p>
      <w:pPr>
        <w:ind w:firstLine="420"/>
        <w:contextualSpacing/>
        <w:rPr>
          <w:rFonts w:ascii="宋体" w:hAnsi="宋体"/>
          <w:szCs w:val="21"/>
        </w:rPr>
      </w:pPr>
    </w:p>
    <w:tbl>
      <w:tblPr>
        <w:tblStyle w:val="18"/>
        <w:tblW w:w="8259"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6"/>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216" w:type="dxa"/>
            <w:shd w:val="clear" w:color="auto" w:fill="auto"/>
          </w:tcPr>
          <w:p>
            <w:pPr>
              <w:pStyle w:val="46"/>
              <w:rPr>
                <w:rFonts w:cs="宋体"/>
                <w:sz w:val="21"/>
                <w:szCs w:val="21"/>
                <w:lang w:val="en-US" w:eastAsia="zh-CN"/>
              </w:rPr>
            </w:pPr>
            <w:r>
              <w:rPr>
                <w:rFonts w:hint="eastAsia" w:cs="宋体"/>
                <w:sz w:val="21"/>
                <w:szCs w:val="21"/>
                <w:lang w:val="en-US" w:eastAsia="zh-CN"/>
              </w:rPr>
              <w:t>舌缺损大于全舌的</w:t>
            </w:r>
            <w:r>
              <w:rPr>
                <w:rFonts w:cs="宋体"/>
                <w:sz w:val="21"/>
                <w:szCs w:val="21"/>
                <w:lang w:val="en-US" w:eastAsia="zh-CN"/>
              </w:rPr>
              <w:t>2/3</w:t>
            </w:r>
          </w:p>
        </w:tc>
        <w:tc>
          <w:tcPr>
            <w:tcW w:w="1043"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 xml:space="preserve">3 </w:t>
            </w:r>
            <w:r>
              <w:rPr>
                <w:rFonts w:hint="eastAsia" w:cs="宋体"/>
                <w:color w:val="000000"/>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16" w:type="dxa"/>
            <w:shd w:val="clear" w:color="auto" w:fill="auto"/>
          </w:tcPr>
          <w:p>
            <w:pPr>
              <w:pStyle w:val="46"/>
              <w:rPr>
                <w:rFonts w:cs="宋体"/>
                <w:sz w:val="21"/>
                <w:szCs w:val="21"/>
                <w:lang w:val="en-US" w:eastAsia="zh-CN"/>
              </w:rPr>
            </w:pPr>
            <w:r>
              <w:rPr>
                <w:rFonts w:hint="eastAsia" w:cs="宋体"/>
                <w:sz w:val="21"/>
                <w:szCs w:val="21"/>
                <w:lang w:val="en-US" w:eastAsia="zh-CN"/>
              </w:rPr>
              <w:t>舌缺损大于全舌的</w:t>
            </w:r>
            <w:r>
              <w:rPr>
                <w:rFonts w:cs="宋体"/>
                <w:sz w:val="21"/>
                <w:szCs w:val="21"/>
                <w:lang w:val="en-US" w:eastAsia="zh-CN"/>
              </w:rPr>
              <w:t>1/3</w:t>
            </w:r>
          </w:p>
        </w:tc>
        <w:tc>
          <w:tcPr>
            <w:tcW w:w="1043"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 xml:space="preserve">6 </w:t>
            </w:r>
            <w:r>
              <w:rPr>
                <w:rFonts w:hint="eastAsia" w:cs="宋体"/>
                <w:color w:val="000000"/>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216" w:type="dxa"/>
            <w:shd w:val="clear" w:color="auto" w:fill="auto"/>
          </w:tcPr>
          <w:p>
            <w:pPr>
              <w:pStyle w:val="46"/>
              <w:rPr>
                <w:rFonts w:cs="宋体"/>
                <w:sz w:val="21"/>
                <w:szCs w:val="21"/>
                <w:lang w:val="en-US" w:eastAsia="zh-CN"/>
              </w:rPr>
            </w:pPr>
            <w:r>
              <w:rPr>
                <w:rFonts w:hint="eastAsia" w:cs="宋体"/>
                <w:sz w:val="21"/>
                <w:szCs w:val="21"/>
                <w:lang w:val="en-US" w:eastAsia="zh-CN"/>
              </w:rPr>
              <w:t>口腔损伤导致牙齿脱落大于等于</w:t>
            </w:r>
            <w:r>
              <w:rPr>
                <w:rFonts w:cs="宋体"/>
                <w:sz w:val="21"/>
                <w:szCs w:val="21"/>
                <w:lang w:val="en-US" w:eastAsia="zh-CN"/>
              </w:rPr>
              <w:t>16枚</w:t>
            </w:r>
          </w:p>
        </w:tc>
        <w:tc>
          <w:tcPr>
            <w:tcW w:w="1043"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216" w:type="dxa"/>
            <w:shd w:val="clear" w:color="auto" w:fill="auto"/>
          </w:tcPr>
          <w:p>
            <w:pPr>
              <w:pStyle w:val="46"/>
              <w:rPr>
                <w:rFonts w:cs="宋体"/>
                <w:sz w:val="21"/>
                <w:szCs w:val="21"/>
                <w:lang w:val="en-US" w:eastAsia="zh-CN"/>
              </w:rPr>
            </w:pPr>
            <w:r>
              <w:rPr>
                <w:rFonts w:hint="eastAsia" w:cs="宋体"/>
                <w:sz w:val="21"/>
                <w:szCs w:val="21"/>
                <w:lang w:val="en-US" w:eastAsia="zh-CN"/>
              </w:rPr>
              <w:t>口腔损伤导致牙齿脱落大于等于</w:t>
            </w:r>
            <w:r>
              <w:rPr>
                <w:rFonts w:cs="宋体"/>
                <w:sz w:val="21"/>
                <w:szCs w:val="21"/>
                <w:lang w:val="en-US" w:eastAsia="zh-CN"/>
              </w:rPr>
              <w:t>8枚</w:t>
            </w:r>
          </w:p>
        </w:tc>
        <w:tc>
          <w:tcPr>
            <w:tcW w:w="1043"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10级</w:t>
            </w:r>
          </w:p>
        </w:tc>
      </w:tr>
    </w:tbl>
    <w:p>
      <w:pPr>
        <w:ind w:firstLine="420"/>
        <w:contextualSpacing/>
        <w:rPr>
          <w:rFonts w:ascii="宋体" w:hAnsi="宋体"/>
          <w:szCs w:val="21"/>
        </w:rPr>
      </w:pPr>
    </w:p>
    <w:p>
      <w:pPr>
        <w:pStyle w:val="4"/>
        <w:numPr>
          <w:ilvl w:val="1"/>
          <w:numId w:val="1"/>
        </w:numPr>
        <w:ind w:left="0" w:firstLine="0"/>
        <w:contextualSpacing/>
        <w:rPr>
          <w:sz w:val="21"/>
          <w:szCs w:val="21"/>
        </w:rPr>
      </w:pPr>
      <w:bookmarkStart w:id="22" w:name="_Toc356463477"/>
      <w:r>
        <w:rPr>
          <w:rFonts w:hint="eastAsia"/>
          <w:sz w:val="21"/>
          <w:szCs w:val="21"/>
        </w:rPr>
        <w:t>发声和言语的功能障碍</w:t>
      </w:r>
      <w:bookmarkEnd w:id="22"/>
    </w:p>
    <w:p>
      <w:pPr>
        <w:ind w:firstLine="420"/>
        <w:rPr>
          <w:rFonts w:ascii="宋体" w:hAnsi="宋体"/>
          <w:szCs w:val="21"/>
        </w:rPr>
      </w:pPr>
      <w:r>
        <w:rPr>
          <w:rFonts w:hint="eastAsia" w:ascii="宋体" w:hAnsi="宋体"/>
          <w:szCs w:val="21"/>
        </w:rPr>
        <w:t>本标准中的发声和言语的功能障碍是指语言功能丧失。</w:t>
      </w:r>
    </w:p>
    <w:p>
      <w:pPr>
        <w:ind w:firstLine="420"/>
        <w:contextualSpacing/>
        <w:rPr>
          <w:rFonts w:ascii="宋体" w:hAnsi="宋体"/>
          <w:szCs w:val="21"/>
        </w:rPr>
      </w:pPr>
    </w:p>
    <w:tbl>
      <w:tblPr>
        <w:tblStyle w:val="18"/>
        <w:tblW w:w="82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语言功能完全丧失</w:t>
            </w:r>
          </w:p>
        </w:tc>
        <w:tc>
          <w:tcPr>
            <w:tcW w:w="1043"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8</w:t>
            </w:r>
            <w:r>
              <w:rPr>
                <w:rFonts w:hint="eastAsia" w:cs="宋体"/>
                <w:color w:val="000000"/>
                <w:sz w:val="21"/>
                <w:szCs w:val="21"/>
                <w:lang w:val="en-US" w:eastAsia="zh-CN"/>
              </w:rPr>
              <w:t>级</w:t>
            </w:r>
          </w:p>
        </w:tc>
      </w:tr>
    </w:tbl>
    <w:p>
      <w:pPr>
        <w:pStyle w:val="44"/>
        <w:rPr>
          <w:rFonts w:ascii="宋体" w:hAnsi="宋体" w:eastAsia="宋体"/>
          <w:sz w:val="21"/>
          <w:szCs w:val="21"/>
        </w:rPr>
      </w:pPr>
      <w:r>
        <w:rPr>
          <w:rFonts w:hint="eastAsia" w:ascii="宋体" w:hAnsi="宋体" w:eastAsia="宋体"/>
          <w:sz w:val="21"/>
          <w:szCs w:val="21"/>
        </w:rPr>
        <w:t>注：语言功能完全丧失指构成语言的口唇音、齿舌音、口盖音和喉头音的四种语言功能中，有三种以上不能构声、或声带全部切除，或因大脑语言中枢受伤害而患失语症，并须有资格的耳鼻喉科医师出具医疗诊断证明，但不包括任何心理障碍引致的失语。</w:t>
      </w:r>
    </w:p>
    <w:p>
      <w:pPr>
        <w:ind w:firstLine="420"/>
        <w:contextualSpacing/>
        <w:rPr>
          <w:rFonts w:ascii="宋体" w:hAnsi="宋体"/>
          <w:szCs w:val="21"/>
        </w:rPr>
      </w:pPr>
    </w:p>
    <w:p>
      <w:pPr>
        <w:pStyle w:val="3"/>
        <w:numPr>
          <w:ilvl w:val="0"/>
          <w:numId w:val="1"/>
        </w:numPr>
        <w:contextualSpacing/>
        <w:rPr>
          <w:rFonts w:ascii="宋体" w:hAnsi="宋体"/>
          <w:sz w:val="21"/>
          <w:szCs w:val="21"/>
        </w:rPr>
      </w:pPr>
      <w:bookmarkStart w:id="23" w:name="_Toc349826758"/>
      <w:bookmarkEnd w:id="23"/>
      <w:bookmarkStart w:id="24" w:name="_Toc349826914"/>
      <w:bookmarkEnd w:id="24"/>
      <w:bookmarkStart w:id="25" w:name="_Toc349832692"/>
      <w:bookmarkEnd w:id="25"/>
      <w:bookmarkStart w:id="26" w:name="_Toc349833347"/>
      <w:bookmarkEnd w:id="26"/>
      <w:bookmarkStart w:id="27" w:name="_Toc349833743"/>
      <w:bookmarkEnd w:id="27"/>
      <w:bookmarkStart w:id="28" w:name="_Toc349826759"/>
      <w:bookmarkEnd w:id="28"/>
      <w:bookmarkStart w:id="29" w:name="_Toc349826915"/>
      <w:bookmarkEnd w:id="29"/>
      <w:bookmarkStart w:id="30" w:name="_Toc349832693"/>
      <w:bookmarkEnd w:id="30"/>
      <w:bookmarkStart w:id="31" w:name="_Toc349833348"/>
      <w:bookmarkEnd w:id="31"/>
      <w:bookmarkStart w:id="32" w:name="_Toc349833744"/>
      <w:bookmarkEnd w:id="32"/>
      <w:bookmarkStart w:id="33" w:name="_Toc356463478"/>
      <w:r>
        <w:rPr>
          <w:rFonts w:hint="eastAsia" w:ascii="宋体" w:hAnsi="宋体"/>
          <w:sz w:val="21"/>
          <w:szCs w:val="21"/>
        </w:rPr>
        <w:t>心血管，免疫和呼吸系统的结构和功能</w:t>
      </w:r>
      <w:bookmarkEnd w:id="33"/>
    </w:p>
    <w:p>
      <w:pPr>
        <w:pStyle w:val="4"/>
        <w:numPr>
          <w:ilvl w:val="1"/>
          <w:numId w:val="1"/>
        </w:numPr>
        <w:ind w:left="0" w:firstLine="0"/>
        <w:contextualSpacing/>
        <w:rPr>
          <w:sz w:val="21"/>
          <w:szCs w:val="21"/>
        </w:rPr>
      </w:pPr>
      <w:bookmarkStart w:id="34" w:name="_Toc350932575"/>
      <w:bookmarkStart w:id="35" w:name="_Toc356463479"/>
      <w:r>
        <w:rPr>
          <w:rFonts w:hint="eastAsia"/>
          <w:sz w:val="21"/>
          <w:szCs w:val="21"/>
        </w:rPr>
        <w:t>心脏的结构损伤或功能障碍</w:t>
      </w:r>
      <w:bookmarkEnd w:id="34"/>
      <w:bookmarkEnd w:id="35"/>
    </w:p>
    <w:p>
      <w:pPr>
        <w:rPr>
          <w:rFonts w:ascii="宋体" w:hAnsi="宋体"/>
          <w:szCs w:val="21"/>
        </w:rPr>
      </w:pPr>
    </w:p>
    <w:tbl>
      <w:tblPr>
        <w:tblStyle w:val="18"/>
        <w:tblW w:w="828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胸部损伤导致心肺联合移植</w:t>
            </w:r>
          </w:p>
        </w:tc>
        <w:tc>
          <w:tcPr>
            <w:tcW w:w="1043" w:type="dxa"/>
            <w:shd w:val="clear" w:color="auto" w:fill="auto"/>
          </w:tcPr>
          <w:p>
            <w:pPr>
              <w:pStyle w:val="46"/>
              <w:jc w:val="center"/>
              <w:rPr>
                <w:rFonts w:cs="宋体"/>
                <w:color w:val="000000"/>
                <w:sz w:val="21"/>
                <w:szCs w:val="21"/>
                <w:lang w:val="en-US" w:eastAsia="zh-CN"/>
              </w:rPr>
            </w:pPr>
            <w:r>
              <w:rPr>
                <w:rFonts w:hint="eastAsia" w:cs="宋体"/>
                <w:color w:val="000000"/>
                <w:sz w:val="21"/>
                <w:szCs w:val="21"/>
                <w:lang w:val="en-US" w:eastAsia="zh-CN"/>
              </w:rPr>
              <w:t>1</w:t>
            </w:r>
            <w:r>
              <w:rPr>
                <w:rFonts w:cs="宋体"/>
                <w:color w:val="000000"/>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胸部损伤导致心脏贯通伤修补术后，心电图有明显改变</w:t>
            </w:r>
          </w:p>
        </w:tc>
        <w:tc>
          <w:tcPr>
            <w:tcW w:w="1043" w:type="dxa"/>
            <w:shd w:val="clear" w:color="auto" w:fill="auto"/>
          </w:tcPr>
          <w:p>
            <w:pPr>
              <w:pStyle w:val="46"/>
              <w:jc w:val="center"/>
              <w:rPr>
                <w:rFonts w:cs="宋体"/>
                <w:color w:val="000000"/>
                <w:sz w:val="21"/>
                <w:szCs w:val="21"/>
                <w:lang w:val="en-US" w:eastAsia="zh-CN"/>
              </w:rPr>
            </w:pPr>
            <w:r>
              <w:rPr>
                <w:rFonts w:hint="eastAsia" w:cs="宋体"/>
                <w:color w:val="000000"/>
                <w:sz w:val="21"/>
                <w:szCs w:val="21"/>
                <w:lang w:val="en-US" w:eastAsia="zh-CN"/>
              </w:rPr>
              <w:t>3</w:t>
            </w:r>
            <w:r>
              <w:rPr>
                <w:rFonts w:cs="宋体"/>
                <w:color w:val="000000"/>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胸部损伤导致心肌破裂修补</w:t>
            </w:r>
          </w:p>
        </w:tc>
        <w:tc>
          <w:tcPr>
            <w:tcW w:w="1043" w:type="dxa"/>
            <w:shd w:val="clear" w:color="auto" w:fill="auto"/>
          </w:tcPr>
          <w:p>
            <w:pPr>
              <w:pStyle w:val="46"/>
              <w:jc w:val="center"/>
              <w:rPr>
                <w:rFonts w:cs="宋体"/>
                <w:color w:val="000000"/>
                <w:sz w:val="21"/>
                <w:szCs w:val="21"/>
                <w:lang w:val="en-US" w:eastAsia="zh-CN"/>
              </w:rPr>
            </w:pPr>
            <w:r>
              <w:rPr>
                <w:rFonts w:hint="eastAsia" w:cs="宋体"/>
                <w:color w:val="000000"/>
                <w:sz w:val="21"/>
                <w:szCs w:val="21"/>
                <w:lang w:val="en-US" w:eastAsia="zh-CN"/>
              </w:rPr>
              <w:t>8</w:t>
            </w:r>
            <w:r>
              <w:rPr>
                <w:rFonts w:cs="宋体"/>
                <w:color w:val="000000"/>
                <w:sz w:val="21"/>
                <w:szCs w:val="21"/>
                <w:lang w:val="en-US" w:eastAsia="zh-CN"/>
              </w:rPr>
              <w:t>级</w:t>
            </w:r>
          </w:p>
        </w:tc>
      </w:tr>
    </w:tbl>
    <w:p>
      <w:pPr>
        <w:ind w:firstLine="420"/>
        <w:contextualSpacing/>
        <w:rPr>
          <w:rFonts w:ascii="宋体" w:hAnsi="宋体"/>
          <w:szCs w:val="21"/>
        </w:rPr>
      </w:pPr>
    </w:p>
    <w:p>
      <w:pPr>
        <w:pStyle w:val="4"/>
        <w:numPr>
          <w:ilvl w:val="1"/>
          <w:numId w:val="1"/>
        </w:numPr>
        <w:ind w:left="0" w:firstLine="0"/>
        <w:contextualSpacing/>
        <w:rPr>
          <w:sz w:val="21"/>
          <w:szCs w:val="21"/>
        </w:rPr>
      </w:pPr>
      <w:bookmarkStart w:id="36" w:name="_Toc356463480"/>
      <w:r>
        <w:rPr>
          <w:rFonts w:hint="eastAsia"/>
          <w:sz w:val="21"/>
          <w:szCs w:val="21"/>
        </w:rPr>
        <w:t>脾结构损伤</w:t>
      </w:r>
      <w:bookmarkEnd w:id="36"/>
    </w:p>
    <w:p>
      <w:pPr>
        <w:ind w:firstLine="420"/>
        <w:contextualSpacing/>
        <w:rPr>
          <w:rFonts w:ascii="宋体" w:hAnsi="宋体"/>
          <w:szCs w:val="21"/>
        </w:rPr>
      </w:pPr>
    </w:p>
    <w:tbl>
      <w:tblPr>
        <w:tblStyle w:val="18"/>
        <w:tblW w:w="828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腹部损伤导致脾切除</w:t>
            </w:r>
          </w:p>
        </w:tc>
        <w:tc>
          <w:tcPr>
            <w:tcW w:w="1043"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腹部损伤导致脾部分切除</w:t>
            </w:r>
          </w:p>
        </w:tc>
        <w:tc>
          <w:tcPr>
            <w:tcW w:w="1043"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腹部损伤导致脾破裂修补</w:t>
            </w:r>
          </w:p>
        </w:tc>
        <w:tc>
          <w:tcPr>
            <w:tcW w:w="1043"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10级</w:t>
            </w:r>
          </w:p>
        </w:tc>
      </w:tr>
    </w:tbl>
    <w:p>
      <w:pPr>
        <w:ind w:firstLine="420"/>
        <w:contextualSpacing/>
        <w:rPr>
          <w:rFonts w:ascii="宋体" w:hAnsi="宋体"/>
          <w:szCs w:val="21"/>
        </w:rPr>
      </w:pPr>
    </w:p>
    <w:p>
      <w:pPr>
        <w:pStyle w:val="4"/>
        <w:numPr>
          <w:ilvl w:val="1"/>
          <w:numId w:val="1"/>
        </w:numPr>
        <w:ind w:left="0" w:firstLine="0"/>
        <w:contextualSpacing/>
        <w:rPr>
          <w:sz w:val="21"/>
          <w:szCs w:val="21"/>
        </w:rPr>
      </w:pPr>
      <w:bookmarkStart w:id="37" w:name="_Toc356463481"/>
      <w:r>
        <w:rPr>
          <w:rFonts w:hint="eastAsia"/>
          <w:sz w:val="21"/>
          <w:szCs w:val="21"/>
        </w:rPr>
        <w:t>肺的结构损伤</w:t>
      </w:r>
      <w:bookmarkEnd w:id="37"/>
    </w:p>
    <w:p>
      <w:pPr>
        <w:pStyle w:val="46"/>
        <w:rPr>
          <w:sz w:val="21"/>
          <w:szCs w:val="21"/>
        </w:rPr>
      </w:pPr>
    </w:p>
    <w:tbl>
      <w:tblPr>
        <w:tblStyle w:val="18"/>
        <w:tblW w:w="8287" w:type="dxa"/>
        <w:tblInd w:w="94" w:type="dxa"/>
        <w:tblLayout w:type="autofit"/>
        <w:tblCellMar>
          <w:top w:w="0" w:type="dxa"/>
          <w:left w:w="108" w:type="dxa"/>
          <w:bottom w:w="0" w:type="dxa"/>
          <w:right w:w="108" w:type="dxa"/>
        </w:tblCellMar>
      </w:tblPr>
      <w:tblGrid>
        <w:gridCol w:w="7244"/>
        <w:gridCol w:w="1043"/>
      </w:tblGrid>
      <w:tr>
        <w:trPr>
          <w:trHeight w:val="64" w:hRule="atLeast"/>
        </w:trPr>
        <w:tc>
          <w:tcPr>
            <w:tcW w:w="7244" w:type="dxa"/>
            <w:tcBorders>
              <w:top w:val="single" w:color="auto" w:sz="4" w:space="0"/>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bookmarkStart w:id="38" w:name="OLE_LINK13"/>
            <w:r>
              <w:rPr>
                <w:rFonts w:hint="eastAsia" w:cs="宋体"/>
                <w:sz w:val="21"/>
                <w:szCs w:val="21"/>
                <w:lang w:val="en-US" w:eastAsia="zh-CN"/>
              </w:rPr>
              <w:t>胸部损伤导致一侧全肺切除</w:t>
            </w:r>
            <w:bookmarkEnd w:id="38"/>
          </w:p>
        </w:tc>
        <w:tc>
          <w:tcPr>
            <w:tcW w:w="1043" w:type="dxa"/>
            <w:tcBorders>
              <w:top w:val="single" w:color="auto" w:sz="4" w:space="0"/>
              <w:left w:val="nil"/>
              <w:bottom w:val="single" w:color="auto" w:sz="4" w:space="0"/>
              <w:right w:val="single" w:color="auto" w:sz="4" w:space="0"/>
            </w:tcBorders>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4级</w:t>
            </w:r>
          </w:p>
        </w:tc>
      </w:tr>
      <w:tr>
        <w:tblPrEx>
          <w:tblCellMar>
            <w:top w:w="0" w:type="dxa"/>
            <w:left w:w="108" w:type="dxa"/>
            <w:bottom w:w="0" w:type="dxa"/>
            <w:right w:w="108" w:type="dxa"/>
          </w:tblCellMar>
        </w:tblPrEx>
        <w:trPr>
          <w:trHeight w:val="106" w:hRule="atLeast"/>
        </w:trPr>
        <w:tc>
          <w:tcPr>
            <w:tcW w:w="7244"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胸部损伤导致双侧肺叶切除</w:t>
            </w:r>
          </w:p>
        </w:tc>
        <w:tc>
          <w:tcPr>
            <w:tcW w:w="1043" w:type="dxa"/>
            <w:tcBorders>
              <w:top w:val="single" w:color="auto" w:sz="4" w:space="0"/>
              <w:left w:val="nil"/>
              <w:bottom w:val="single" w:color="auto" w:sz="4" w:space="0"/>
              <w:right w:val="single" w:color="auto" w:sz="4" w:space="0"/>
            </w:tcBorders>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4级</w:t>
            </w:r>
          </w:p>
        </w:tc>
      </w:tr>
      <w:tr>
        <w:tblPrEx>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胸部损伤导致同侧双肺叶切除</w:t>
            </w:r>
          </w:p>
        </w:tc>
        <w:tc>
          <w:tcPr>
            <w:tcW w:w="1043" w:type="dxa"/>
            <w:tcBorders>
              <w:top w:val="single" w:color="auto" w:sz="4" w:space="0"/>
              <w:left w:val="nil"/>
              <w:bottom w:val="single" w:color="auto" w:sz="4" w:space="0"/>
              <w:right w:val="single" w:color="auto" w:sz="4" w:space="0"/>
            </w:tcBorders>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5级</w:t>
            </w:r>
          </w:p>
        </w:tc>
      </w:tr>
      <w:tr>
        <w:tblPrEx>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cBorders>
            <w:shd w:val="clear" w:color="auto" w:fill="auto"/>
          </w:tcPr>
          <w:p>
            <w:pPr>
              <w:pStyle w:val="46"/>
              <w:rPr>
                <w:rFonts w:cs="宋体"/>
                <w:color w:val="FF0000"/>
                <w:sz w:val="21"/>
                <w:szCs w:val="21"/>
                <w:lang w:val="en-US" w:eastAsia="zh-CN"/>
              </w:rPr>
            </w:pPr>
            <w:r>
              <w:rPr>
                <w:rFonts w:hint="eastAsia" w:cs="宋体"/>
                <w:sz w:val="21"/>
                <w:szCs w:val="21"/>
                <w:lang w:val="en-US" w:eastAsia="zh-CN"/>
              </w:rPr>
              <w:t>胸部损伤导致肺叶切除</w:t>
            </w:r>
          </w:p>
        </w:tc>
        <w:tc>
          <w:tcPr>
            <w:tcW w:w="1043" w:type="dxa"/>
            <w:tcBorders>
              <w:top w:val="single" w:color="auto" w:sz="4" w:space="0"/>
              <w:left w:val="nil"/>
              <w:bottom w:val="single" w:color="auto" w:sz="4" w:space="0"/>
              <w:right w:val="single" w:color="auto" w:sz="4" w:space="0"/>
            </w:tcBorders>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7级</w:t>
            </w:r>
          </w:p>
        </w:tc>
      </w:tr>
    </w:tbl>
    <w:p>
      <w:pPr>
        <w:ind w:firstLine="420"/>
        <w:contextualSpacing/>
        <w:rPr>
          <w:rFonts w:ascii="宋体" w:hAnsi="宋体"/>
          <w:szCs w:val="21"/>
        </w:rPr>
      </w:pPr>
    </w:p>
    <w:p>
      <w:pPr>
        <w:pStyle w:val="4"/>
        <w:numPr>
          <w:ilvl w:val="1"/>
          <w:numId w:val="1"/>
        </w:numPr>
        <w:ind w:left="0" w:firstLine="0"/>
        <w:contextualSpacing/>
        <w:rPr>
          <w:sz w:val="21"/>
          <w:szCs w:val="21"/>
        </w:rPr>
      </w:pPr>
      <w:bookmarkStart w:id="39" w:name="_Toc356463482"/>
      <w:r>
        <w:rPr>
          <w:rFonts w:hint="eastAsia"/>
          <w:sz w:val="21"/>
          <w:szCs w:val="21"/>
        </w:rPr>
        <w:t>胸廓的结构损伤</w:t>
      </w:r>
      <w:bookmarkEnd w:id="39"/>
    </w:p>
    <w:p>
      <w:pPr>
        <w:ind w:firstLine="420"/>
        <w:contextualSpacing/>
        <w:rPr>
          <w:rFonts w:ascii="宋体" w:hAnsi="宋体"/>
          <w:szCs w:val="21"/>
        </w:rPr>
      </w:pPr>
      <w:r>
        <w:rPr>
          <w:rFonts w:hint="eastAsia" w:ascii="宋体" w:hAnsi="宋体"/>
          <w:szCs w:val="21"/>
        </w:rPr>
        <w:t>本标准中的胸廓的结构损伤是指肋骨骨折或缺失。</w:t>
      </w:r>
    </w:p>
    <w:p>
      <w:pPr>
        <w:ind w:firstLine="420"/>
        <w:contextualSpacing/>
        <w:rPr>
          <w:rFonts w:ascii="宋体" w:hAnsi="宋体"/>
          <w:szCs w:val="21"/>
        </w:rPr>
      </w:pPr>
    </w:p>
    <w:tbl>
      <w:tblPr>
        <w:tblStyle w:val="18"/>
        <w:tblW w:w="831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胸部损伤导致大于等于</w:t>
            </w:r>
            <w:r>
              <w:rPr>
                <w:rFonts w:cs="宋体"/>
                <w:sz w:val="21"/>
                <w:szCs w:val="21"/>
                <w:lang w:val="en-US" w:eastAsia="zh-CN"/>
              </w:rPr>
              <w:t>12根肋骨骨折</w:t>
            </w:r>
          </w:p>
        </w:tc>
        <w:tc>
          <w:tcPr>
            <w:tcW w:w="1071"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 xml:space="preserve">8 </w:t>
            </w:r>
            <w:r>
              <w:rPr>
                <w:rFonts w:hint="eastAsia" w:cs="宋体"/>
                <w:color w:val="000000"/>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胸部损伤导致大于等于</w:t>
            </w:r>
            <w:r>
              <w:rPr>
                <w:rFonts w:cs="宋体"/>
                <w:sz w:val="21"/>
                <w:szCs w:val="21"/>
                <w:lang w:val="en-US" w:eastAsia="zh-CN"/>
              </w:rPr>
              <w:t>8根肋骨骨折</w:t>
            </w:r>
          </w:p>
        </w:tc>
        <w:tc>
          <w:tcPr>
            <w:tcW w:w="1071"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 xml:space="preserve">9 </w:t>
            </w:r>
            <w:r>
              <w:rPr>
                <w:rFonts w:hint="eastAsia" w:cs="宋体"/>
                <w:color w:val="000000"/>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胸部损伤导致大于等于</w:t>
            </w:r>
            <w:r>
              <w:rPr>
                <w:rFonts w:cs="宋体"/>
                <w:sz w:val="21"/>
                <w:szCs w:val="21"/>
                <w:lang w:val="en-US" w:eastAsia="zh-CN"/>
              </w:rPr>
              <w:t>4根肋骨缺失</w:t>
            </w:r>
          </w:p>
        </w:tc>
        <w:tc>
          <w:tcPr>
            <w:tcW w:w="1071"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胸部损伤导致大于等于</w:t>
            </w:r>
            <w:r>
              <w:rPr>
                <w:rFonts w:cs="宋体"/>
                <w:sz w:val="21"/>
                <w:szCs w:val="21"/>
                <w:lang w:val="en-US" w:eastAsia="zh-CN"/>
              </w:rPr>
              <w:t>4根肋骨骨折</w:t>
            </w:r>
          </w:p>
        </w:tc>
        <w:tc>
          <w:tcPr>
            <w:tcW w:w="1071"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胸部损伤导致大于等于</w:t>
            </w:r>
            <w:r>
              <w:rPr>
                <w:rFonts w:cs="宋体"/>
                <w:sz w:val="21"/>
                <w:szCs w:val="21"/>
                <w:lang w:val="en-US" w:eastAsia="zh-CN"/>
              </w:rPr>
              <w:t>2根肋骨缺失</w:t>
            </w:r>
          </w:p>
        </w:tc>
        <w:tc>
          <w:tcPr>
            <w:tcW w:w="1071"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10级</w:t>
            </w:r>
          </w:p>
        </w:tc>
      </w:tr>
    </w:tbl>
    <w:p>
      <w:pPr>
        <w:ind w:firstLine="420"/>
        <w:contextualSpacing/>
        <w:rPr>
          <w:rFonts w:ascii="宋体" w:hAnsi="宋体"/>
          <w:szCs w:val="21"/>
        </w:rPr>
      </w:pPr>
    </w:p>
    <w:p>
      <w:pPr>
        <w:pStyle w:val="3"/>
        <w:numPr>
          <w:ilvl w:val="0"/>
          <w:numId w:val="1"/>
        </w:numPr>
        <w:contextualSpacing/>
        <w:rPr>
          <w:rFonts w:ascii="宋体" w:hAnsi="宋体"/>
          <w:sz w:val="21"/>
          <w:szCs w:val="21"/>
        </w:rPr>
      </w:pPr>
      <w:bookmarkStart w:id="40" w:name="_Toc356463483"/>
      <w:r>
        <w:rPr>
          <w:rFonts w:hint="eastAsia" w:ascii="宋体" w:hAnsi="宋体"/>
          <w:sz w:val="21"/>
          <w:szCs w:val="21"/>
        </w:rPr>
        <w:t>消化、代谢和内分泌系统有关的结构和功能</w:t>
      </w:r>
      <w:bookmarkEnd w:id="40"/>
    </w:p>
    <w:p>
      <w:pPr>
        <w:pStyle w:val="4"/>
        <w:numPr>
          <w:ilvl w:val="1"/>
          <w:numId w:val="1"/>
        </w:numPr>
        <w:ind w:left="0" w:firstLine="0"/>
        <w:contextualSpacing/>
        <w:rPr>
          <w:sz w:val="21"/>
          <w:szCs w:val="21"/>
        </w:rPr>
      </w:pPr>
      <w:bookmarkStart w:id="41" w:name="_Toc356463484"/>
      <w:r>
        <w:rPr>
          <w:rFonts w:hint="eastAsia"/>
          <w:sz w:val="21"/>
          <w:szCs w:val="21"/>
        </w:rPr>
        <w:t>咀嚼和吞咽功能障碍</w:t>
      </w:r>
      <w:bookmarkEnd w:id="41"/>
    </w:p>
    <w:p>
      <w:pPr>
        <w:ind w:firstLine="420"/>
        <w:contextualSpacing/>
        <w:rPr>
          <w:rFonts w:ascii="宋体" w:hAnsi="宋体"/>
          <w:szCs w:val="21"/>
        </w:rPr>
      </w:pPr>
      <w:r>
        <w:rPr>
          <w:rFonts w:hint="eastAsia" w:ascii="宋体" w:hAnsi="宋体"/>
          <w:szCs w:val="21"/>
        </w:rPr>
        <w:t>咀嚼是指用后牙（如磨牙）碾、磨或咀嚼食物的功能。吞咽是指通过口腔、咽和食道把食物和饮料以适宜的频率和速度送入胃中的功能。</w:t>
      </w:r>
    </w:p>
    <w:p>
      <w:pPr>
        <w:ind w:firstLine="420"/>
        <w:contextualSpacing/>
        <w:rPr>
          <w:rFonts w:ascii="宋体" w:hAnsi="宋体"/>
          <w:szCs w:val="21"/>
        </w:rPr>
      </w:pPr>
    </w:p>
    <w:tbl>
      <w:tblPr>
        <w:tblStyle w:val="18"/>
        <w:tblW w:w="828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咀嚼、吞咽功能完全丧失</w:t>
            </w:r>
          </w:p>
        </w:tc>
        <w:tc>
          <w:tcPr>
            <w:tcW w:w="1043" w:type="dxa"/>
            <w:shd w:val="clear" w:color="auto" w:fill="auto"/>
          </w:tcPr>
          <w:p>
            <w:pPr>
              <w:pStyle w:val="46"/>
              <w:rPr>
                <w:rFonts w:cs="宋体"/>
                <w:color w:val="000000"/>
                <w:sz w:val="21"/>
                <w:szCs w:val="21"/>
                <w:lang w:val="en-US" w:eastAsia="zh-CN"/>
              </w:rPr>
            </w:pPr>
            <w:r>
              <w:rPr>
                <w:rFonts w:cs="宋体"/>
                <w:color w:val="000000"/>
                <w:sz w:val="21"/>
                <w:szCs w:val="21"/>
                <w:lang w:val="en-US" w:eastAsia="zh-CN"/>
              </w:rPr>
              <w:t>1级</w:t>
            </w:r>
          </w:p>
        </w:tc>
      </w:tr>
    </w:tbl>
    <w:p>
      <w:pPr>
        <w:pStyle w:val="44"/>
        <w:rPr>
          <w:rFonts w:ascii="宋体" w:hAnsi="宋体" w:eastAsia="宋体"/>
          <w:sz w:val="21"/>
          <w:szCs w:val="21"/>
        </w:rPr>
      </w:pPr>
      <w:r>
        <w:rPr>
          <w:rFonts w:hint="eastAsia" w:ascii="宋体" w:hAnsi="宋体" w:eastAsia="宋体"/>
          <w:sz w:val="21"/>
          <w:szCs w:val="21"/>
        </w:rPr>
        <w:t>注：咀嚼、吞咽功能丧失指由于牙齿以外的原因引起器质障碍或机能障碍，以致不能作咀嚼、吞咽运动，除流质食物外不能摄取或吞咽的状态。</w:t>
      </w:r>
    </w:p>
    <w:p>
      <w:pPr>
        <w:ind w:firstLine="420"/>
        <w:contextualSpacing/>
        <w:rPr>
          <w:rFonts w:ascii="宋体" w:hAnsi="宋体"/>
          <w:szCs w:val="21"/>
        </w:rPr>
      </w:pPr>
    </w:p>
    <w:p>
      <w:pPr>
        <w:pStyle w:val="4"/>
        <w:numPr>
          <w:ilvl w:val="1"/>
          <w:numId w:val="1"/>
        </w:numPr>
        <w:ind w:left="0" w:firstLine="0"/>
        <w:contextualSpacing/>
        <w:rPr>
          <w:sz w:val="21"/>
          <w:szCs w:val="21"/>
        </w:rPr>
      </w:pPr>
      <w:bookmarkStart w:id="42" w:name="_Toc356463485"/>
      <w:r>
        <w:rPr>
          <w:rFonts w:hint="eastAsia"/>
          <w:sz w:val="21"/>
          <w:szCs w:val="21"/>
        </w:rPr>
        <w:t>肠的结构损伤</w:t>
      </w:r>
      <w:bookmarkEnd w:id="42"/>
    </w:p>
    <w:p>
      <w:pPr>
        <w:ind w:firstLine="420"/>
        <w:contextualSpacing/>
        <w:rPr>
          <w:rFonts w:ascii="宋体" w:hAnsi="宋体"/>
          <w:szCs w:val="21"/>
        </w:rPr>
      </w:pPr>
    </w:p>
    <w:tbl>
      <w:tblPr>
        <w:tblStyle w:val="18"/>
        <w:tblW w:w="8346" w:type="dxa"/>
        <w:tblInd w:w="80" w:type="dxa"/>
        <w:tblLayout w:type="autofit"/>
        <w:tblCellMar>
          <w:top w:w="0" w:type="dxa"/>
          <w:left w:w="108" w:type="dxa"/>
          <w:bottom w:w="0" w:type="dxa"/>
          <w:right w:w="108" w:type="dxa"/>
        </w:tblCellMar>
      </w:tblPr>
      <w:tblGrid>
        <w:gridCol w:w="7258"/>
        <w:gridCol w:w="1088"/>
      </w:tblGrid>
      <w:tr>
        <w:tblPrEx>
          <w:tblCellMar>
            <w:top w:w="0" w:type="dxa"/>
            <w:left w:w="108" w:type="dxa"/>
            <w:bottom w:w="0" w:type="dxa"/>
            <w:right w:w="108" w:type="dxa"/>
          </w:tblCellMar>
        </w:tblPrEx>
        <w:trPr>
          <w:trHeight w:val="157"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腹部损伤导致小肠切除大于等于</w:t>
            </w:r>
            <w:r>
              <w:rPr>
                <w:rFonts w:cs="宋体"/>
                <w:sz w:val="21"/>
                <w:szCs w:val="21"/>
                <w:lang w:val="en-US" w:eastAsia="zh-CN"/>
              </w:rPr>
              <w:t>90%</w:t>
            </w:r>
          </w:p>
        </w:tc>
        <w:tc>
          <w:tcPr>
            <w:tcW w:w="1088" w:type="dxa"/>
            <w:tcBorders>
              <w:top w:val="single" w:color="auto" w:sz="4" w:space="0"/>
              <w:left w:val="nil"/>
              <w:bottom w:val="single" w:color="auto" w:sz="4" w:space="0"/>
              <w:right w:val="single" w:color="auto" w:sz="4" w:space="0"/>
            </w:tcBorders>
            <w:shd w:val="clear" w:color="auto" w:fill="auto"/>
          </w:tcPr>
          <w:p>
            <w:pPr>
              <w:pStyle w:val="46"/>
              <w:jc w:val="center"/>
              <w:rPr>
                <w:rFonts w:cs="宋体"/>
                <w:sz w:val="21"/>
                <w:szCs w:val="21"/>
                <w:lang w:val="en-US" w:eastAsia="zh-CN"/>
              </w:rPr>
            </w:pPr>
            <w:r>
              <w:rPr>
                <w:rFonts w:cs="宋体"/>
                <w:sz w:val="21"/>
                <w:szCs w:val="21"/>
                <w:lang w:val="en-US" w:eastAsia="zh-CN"/>
              </w:rPr>
              <w:t xml:space="preserve">1 </w:t>
            </w:r>
            <w:r>
              <w:rPr>
                <w:rFonts w:hint="eastAsia" w:cs="宋体"/>
                <w:sz w:val="21"/>
                <w:szCs w:val="21"/>
                <w:lang w:val="en-US" w:eastAsia="zh-CN"/>
              </w:rPr>
              <w:t>级</w:t>
            </w:r>
          </w:p>
        </w:tc>
      </w:tr>
      <w:tr>
        <w:tblPrEx>
          <w:tblCellMar>
            <w:top w:w="0" w:type="dxa"/>
            <w:left w:w="108" w:type="dxa"/>
            <w:bottom w:w="0" w:type="dxa"/>
            <w:right w:w="108" w:type="dxa"/>
          </w:tblCellMar>
        </w:tblPrEx>
        <w:trPr>
          <w:trHeight w:val="81"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腹部损伤导致小肠切除大于等于</w:t>
            </w:r>
            <w:r>
              <w:rPr>
                <w:rFonts w:cs="宋体"/>
                <w:sz w:val="21"/>
                <w:szCs w:val="21"/>
                <w:lang w:val="en-US" w:eastAsia="zh-CN"/>
              </w:rPr>
              <w:t>75%，合并短肠综合症</w:t>
            </w:r>
          </w:p>
        </w:tc>
        <w:tc>
          <w:tcPr>
            <w:tcW w:w="1088" w:type="dxa"/>
            <w:tcBorders>
              <w:top w:val="single" w:color="auto" w:sz="4" w:space="0"/>
              <w:left w:val="nil"/>
              <w:bottom w:val="single" w:color="auto" w:sz="4" w:space="0"/>
              <w:right w:val="single" w:color="auto" w:sz="4" w:space="0"/>
            </w:tcBorders>
            <w:shd w:val="clear" w:color="auto" w:fill="auto"/>
          </w:tcPr>
          <w:p>
            <w:pPr>
              <w:pStyle w:val="46"/>
              <w:jc w:val="center"/>
              <w:rPr>
                <w:rFonts w:cs="宋体"/>
                <w:sz w:val="21"/>
                <w:szCs w:val="21"/>
                <w:lang w:val="en-US" w:eastAsia="zh-CN"/>
              </w:rPr>
            </w:pPr>
            <w:r>
              <w:rPr>
                <w:rFonts w:cs="宋体"/>
                <w:sz w:val="21"/>
                <w:szCs w:val="21"/>
                <w:lang w:val="en-US" w:eastAsia="zh-CN"/>
              </w:rPr>
              <w:t>2级</w:t>
            </w:r>
          </w:p>
        </w:tc>
      </w:tr>
      <w:tr>
        <w:tblPrEx>
          <w:tblCellMar>
            <w:top w:w="0" w:type="dxa"/>
            <w:left w:w="108" w:type="dxa"/>
            <w:bottom w:w="0" w:type="dxa"/>
            <w:right w:w="108" w:type="dxa"/>
          </w:tblCellMar>
        </w:tblPrEx>
        <w:trPr>
          <w:trHeight w:val="185"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腹部损伤导致小肠切除大于等于</w:t>
            </w:r>
            <w:r>
              <w:rPr>
                <w:rFonts w:cs="宋体"/>
                <w:sz w:val="21"/>
                <w:szCs w:val="21"/>
                <w:lang w:val="en-US" w:eastAsia="zh-CN"/>
              </w:rPr>
              <w:t>75%</w:t>
            </w:r>
          </w:p>
        </w:tc>
        <w:tc>
          <w:tcPr>
            <w:tcW w:w="1088" w:type="dxa"/>
            <w:tcBorders>
              <w:top w:val="single" w:color="auto" w:sz="4" w:space="0"/>
              <w:left w:val="nil"/>
              <w:bottom w:val="single" w:color="auto" w:sz="4" w:space="0"/>
              <w:right w:val="single" w:color="auto" w:sz="4" w:space="0"/>
            </w:tcBorders>
            <w:shd w:val="clear" w:color="auto" w:fill="auto"/>
          </w:tcPr>
          <w:p>
            <w:pPr>
              <w:pStyle w:val="46"/>
              <w:jc w:val="center"/>
              <w:rPr>
                <w:rFonts w:cs="宋体"/>
                <w:sz w:val="21"/>
                <w:szCs w:val="21"/>
                <w:lang w:val="en-US" w:eastAsia="zh-CN"/>
              </w:rPr>
            </w:pPr>
            <w:r>
              <w:rPr>
                <w:rFonts w:cs="宋体"/>
                <w:sz w:val="21"/>
                <w:szCs w:val="21"/>
                <w:lang w:val="en-US" w:eastAsia="zh-CN"/>
              </w:rPr>
              <w:t>4级</w:t>
            </w:r>
          </w:p>
        </w:tc>
      </w:tr>
      <w:tr>
        <w:tblPrEx>
          <w:tblCellMar>
            <w:top w:w="0" w:type="dxa"/>
            <w:left w:w="108" w:type="dxa"/>
            <w:bottom w:w="0" w:type="dxa"/>
            <w:right w:w="108" w:type="dxa"/>
          </w:tblCellMar>
        </w:tblPrEx>
        <w:trPr>
          <w:trHeight w:val="135"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腹部或骨盆部损伤导致全结肠、直肠、肛门结构切除，回肠造瘘</w:t>
            </w:r>
          </w:p>
        </w:tc>
        <w:tc>
          <w:tcPr>
            <w:tcW w:w="1088" w:type="dxa"/>
            <w:tcBorders>
              <w:top w:val="single" w:color="auto" w:sz="4" w:space="0"/>
              <w:left w:val="nil"/>
              <w:bottom w:val="single" w:color="auto" w:sz="4" w:space="0"/>
              <w:right w:val="single" w:color="auto" w:sz="4" w:space="0"/>
            </w:tcBorders>
            <w:shd w:val="clear" w:color="auto" w:fill="auto"/>
          </w:tcPr>
          <w:p>
            <w:pPr>
              <w:pStyle w:val="46"/>
              <w:jc w:val="center"/>
              <w:rPr>
                <w:rFonts w:cs="宋体"/>
                <w:sz w:val="21"/>
                <w:szCs w:val="21"/>
                <w:lang w:val="en-US" w:eastAsia="zh-CN"/>
              </w:rPr>
            </w:pPr>
            <w:r>
              <w:rPr>
                <w:rFonts w:cs="宋体"/>
                <w:sz w:val="21"/>
                <w:szCs w:val="21"/>
                <w:lang w:val="en-US" w:eastAsia="zh-CN"/>
              </w:rPr>
              <w:t>4级</w:t>
            </w:r>
          </w:p>
        </w:tc>
      </w:tr>
      <w:tr>
        <w:tblPrEx>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腹部或骨盆部损伤导致直肠、肛门切除，且结肠部分切除，结肠造瘘</w:t>
            </w:r>
          </w:p>
        </w:tc>
        <w:tc>
          <w:tcPr>
            <w:tcW w:w="1088" w:type="dxa"/>
            <w:tcBorders>
              <w:top w:val="nil"/>
              <w:left w:val="nil"/>
              <w:bottom w:val="single" w:color="auto" w:sz="4" w:space="0"/>
              <w:right w:val="single" w:color="auto" w:sz="4" w:space="0"/>
            </w:tcBorders>
            <w:shd w:val="clear" w:color="auto" w:fill="auto"/>
          </w:tcPr>
          <w:p>
            <w:pPr>
              <w:pStyle w:val="46"/>
              <w:jc w:val="center"/>
              <w:rPr>
                <w:rFonts w:cs="宋体"/>
                <w:sz w:val="21"/>
                <w:szCs w:val="21"/>
                <w:lang w:val="en-US" w:eastAsia="zh-CN"/>
              </w:rPr>
            </w:pPr>
            <w:r>
              <w:rPr>
                <w:rFonts w:cs="宋体"/>
                <w:sz w:val="21"/>
                <w:szCs w:val="21"/>
                <w:lang w:val="en-US" w:eastAsia="zh-CN"/>
              </w:rPr>
              <w:t>5级</w:t>
            </w:r>
          </w:p>
        </w:tc>
      </w:tr>
      <w:tr>
        <w:tblPrEx>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腹部损伤导致小肠切除大于等于</w:t>
            </w:r>
            <w:r>
              <w:rPr>
                <w:rFonts w:cs="宋体"/>
                <w:sz w:val="21"/>
                <w:szCs w:val="21"/>
                <w:lang w:val="en-US" w:eastAsia="zh-CN"/>
              </w:rPr>
              <w:t>50%,且包括回盲部切除</w:t>
            </w:r>
          </w:p>
        </w:tc>
        <w:tc>
          <w:tcPr>
            <w:tcW w:w="1088" w:type="dxa"/>
            <w:tcBorders>
              <w:top w:val="nil"/>
              <w:left w:val="nil"/>
              <w:bottom w:val="single" w:color="auto" w:sz="4" w:space="0"/>
              <w:right w:val="single" w:color="auto" w:sz="4" w:space="0"/>
            </w:tcBorders>
            <w:shd w:val="clear" w:color="auto" w:fill="auto"/>
          </w:tcPr>
          <w:p>
            <w:pPr>
              <w:pStyle w:val="46"/>
              <w:jc w:val="center"/>
              <w:rPr>
                <w:rFonts w:cs="宋体"/>
                <w:sz w:val="21"/>
                <w:szCs w:val="21"/>
                <w:lang w:val="en-US" w:eastAsia="zh-CN"/>
              </w:rPr>
            </w:pPr>
            <w:r>
              <w:rPr>
                <w:rFonts w:cs="宋体"/>
                <w:sz w:val="21"/>
                <w:szCs w:val="21"/>
                <w:lang w:val="en-US" w:eastAsia="zh-CN"/>
              </w:rPr>
              <w:t>6级</w:t>
            </w:r>
          </w:p>
        </w:tc>
      </w:tr>
      <w:tr>
        <w:tblPrEx>
          <w:tblCellMar>
            <w:top w:w="0" w:type="dxa"/>
            <w:left w:w="108" w:type="dxa"/>
            <w:bottom w:w="0" w:type="dxa"/>
            <w:right w:w="108" w:type="dxa"/>
          </w:tblCellMar>
        </w:tblPrEx>
        <w:trPr>
          <w:trHeight w:val="113" w:hRule="atLeast"/>
        </w:trPr>
        <w:tc>
          <w:tcPr>
            <w:tcW w:w="7258"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腹部损伤导致小肠切除大于等于</w:t>
            </w:r>
            <w:r>
              <w:rPr>
                <w:rFonts w:cs="宋体"/>
                <w:sz w:val="21"/>
                <w:szCs w:val="21"/>
                <w:lang w:val="en-US" w:eastAsia="zh-CN"/>
              </w:rPr>
              <w:t>50%</w:t>
            </w:r>
          </w:p>
        </w:tc>
        <w:tc>
          <w:tcPr>
            <w:tcW w:w="1088" w:type="dxa"/>
            <w:tcBorders>
              <w:top w:val="nil"/>
              <w:left w:val="nil"/>
              <w:bottom w:val="single" w:color="auto" w:sz="4" w:space="0"/>
              <w:right w:val="single" w:color="auto" w:sz="4" w:space="0"/>
            </w:tcBorders>
            <w:shd w:val="clear" w:color="auto" w:fill="auto"/>
          </w:tcPr>
          <w:p>
            <w:pPr>
              <w:pStyle w:val="46"/>
              <w:jc w:val="center"/>
              <w:rPr>
                <w:rFonts w:cs="宋体"/>
                <w:sz w:val="21"/>
                <w:szCs w:val="21"/>
                <w:lang w:val="en-US" w:eastAsia="zh-CN"/>
              </w:rPr>
            </w:pPr>
            <w:r>
              <w:rPr>
                <w:rFonts w:cs="宋体"/>
                <w:sz w:val="21"/>
                <w:szCs w:val="21"/>
                <w:lang w:val="en-US" w:eastAsia="zh-CN"/>
              </w:rPr>
              <w:t>7级</w:t>
            </w:r>
          </w:p>
        </w:tc>
      </w:tr>
      <w:tr>
        <w:tblPrEx>
          <w:tblCellMar>
            <w:top w:w="0" w:type="dxa"/>
            <w:left w:w="108" w:type="dxa"/>
            <w:bottom w:w="0" w:type="dxa"/>
            <w:right w:w="108" w:type="dxa"/>
          </w:tblCellMar>
        </w:tblPrEx>
        <w:trPr>
          <w:trHeight w:val="207" w:hRule="atLeast"/>
        </w:trPr>
        <w:tc>
          <w:tcPr>
            <w:tcW w:w="7258"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腹部损伤导致结肠切除大于等于</w:t>
            </w:r>
            <w:r>
              <w:rPr>
                <w:rFonts w:cs="宋体"/>
                <w:sz w:val="21"/>
                <w:szCs w:val="21"/>
                <w:lang w:val="en-US" w:eastAsia="zh-CN"/>
              </w:rPr>
              <w:t>50%</w:t>
            </w:r>
          </w:p>
        </w:tc>
        <w:tc>
          <w:tcPr>
            <w:tcW w:w="1088" w:type="dxa"/>
            <w:tcBorders>
              <w:top w:val="nil"/>
              <w:left w:val="nil"/>
              <w:bottom w:val="single" w:color="auto" w:sz="4" w:space="0"/>
              <w:right w:val="single" w:color="auto" w:sz="4" w:space="0"/>
            </w:tcBorders>
            <w:shd w:val="clear" w:color="auto" w:fill="auto"/>
          </w:tcPr>
          <w:p>
            <w:pPr>
              <w:pStyle w:val="46"/>
              <w:jc w:val="center"/>
              <w:rPr>
                <w:rFonts w:cs="宋体"/>
                <w:sz w:val="21"/>
                <w:szCs w:val="21"/>
                <w:lang w:val="en-US" w:eastAsia="zh-CN"/>
              </w:rPr>
            </w:pPr>
            <w:r>
              <w:rPr>
                <w:rFonts w:cs="宋体"/>
                <w:sz w:val="21"/>
                <w:szCs w:val="21"/>
                <w:lang w:val="en-US" w:eastAsia="zh-CN"/>
              </w:rPr>
              <w:t>7级</w:t>
            </w:r>
          </w:p>
        </w:tc>
      </w:tr>
      <w:tr>
        <w:tblPrEx>
          <w:tblCellMar>
            <w:top w:w="0" w:type="dxa"/>
            <w:left w:w="108" w:type="dxa"/>
            <w:bottom w:w="0" w:type="dxa"/>
            <w:right w:w="108" w:type="dxa"/>
          </w:tblCellMar>
        </w:tblPrEx>
        <w:trPr>
          <w:trHeight w:val="177" w:hRule="atLeast"/>
        </w:trPr>
        <w:tc>
          <w:tcPr>
            <w:tcW w:w="7258"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腹部损伤导致结肠部分切除</w:t>
            </w:r>
          </w:p>
        </w:tc>
        <w:tc>
          <w:tcPr>
            <w:tcW w:w="1088" w:type="dxa"/>
            <w:tcBorders>
              <w:top w:val="nil"/>
              <w:left w:val="nil"/>
              <w:bottom w:val="single" w:color="auto" w:sz="4" w:space="0"/>
              <w:right w:val="single" w:color="auto" w:sz="4" w:space="0"/>
            </w:tcBorders>
            <w:shd w:val="clear" w:color="auto" w:fill="auto"/>
          </w:tcPr>
          <w:p>
            <w:pPr>
              <w:pStyle w:val="46"/>
              <w:jc w:val="center"/>
              <w:rPr>
                <w:rFonts w:cs="宋体"/>
                <w:sz w:val="21"/>
                <w:szCs w:val="21"/>
                <w:lang w:val="en-US" w:eastAsia="zh-CN"/>
              </w:rPr>
            </w:pPr>
            <w:r>
              <w:rPr>
                <w:rFonts w:cs="宋体"/>
                <w:sz w:val="21"/>
                <w:szCs w:val="21"/>
                <w:lang w:val="en-US" w:eastAsia="zh-CN"/>
              </w:rPr>
              <w:t>8级</w:t>
            </w:r>
          </w:p>
        </w:tc>
      </w:tr>
      <w:tr>
        <w:tblPrEx>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骨盆部损伤导致直肠、肛门损伤，且遗留永久性乙状结肠造口</w:t>
            </w:r>
          </w:p>
        </w:tc>
        <w:tc>
          <w:tcPr>
            <w:tcW w:w="1088" w:type="dxa"/>
            <w:tcBorders>
              <w:top w:val="nil"/>
              <w:left w:val="nil"/>
              <w:bottom w:val="single" w:color="auto" w:sz="4" w:space="0"/>
              <w:right w:val="single" w:color="auto" w:sz="4" w:space="0"/>
            </w:tcBorders>
            <w:shd w:val="clear" w:color="auto" w:fill="auto"/>
          </w:tcPr>
          <w:p>
            <w:pPr>
              <w:pStyle w:val="46"/>
              <w:jc w:val="center"/>
              <w:rPr>
                <w:rFonts w:cs="宋体"/>
                <w:sz w:val="21"/>
                <w:szCs w:val="21"/>
                <w:lang w:val="en-US" w:eastAsia="zh-CN"/>
              </w:rPr>
            </w:pPr>
            <w:r>
              <w:rPr>
                <w:rFonts w:cs="宋体"/>
                <w:sz w:val="21"/>
                <w:szCs w:val="21"/>
                <w:lang w:val="en-US" w:eastAsia="zh-CN"/>
              </w:rPr>
              <w:t>9级</w:t>
            </w:r>
          </w:p>
        </w:tc>
      </w:tr>
      <w:tr>
        <w:tblPrEx>
          <w:tblCellMar>
            <w:top w:w="0" w:type="dxa"/>
            <w:left w:w="108" w:type="dxa"/>
            <w:bottom w:w="0" w:type="dxa"/>
            <w:right w:w="108" w:type="dxa"/>
          </w:tblCellMar>
        </w:tblPrEx>
        <w:trPr>
          <w:trHeight w:val="185" w:hRule="atLeast"/>
        </w:trPr>
        <w:tc>
          <w:tcPr>
            <w:tcW w:w="7258"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骨盆部损伤导致直肠、肛门损伤，且瘢痕形成</w:t>
            </w:r>
          </w:p>
        </w:tc>
        <w:tc>
          <w:tcPr>
            <w:tcW w:w="1088" w:type="dxa"/>
            <w:tcBorders>
              <w:top w:val="nil"/>
              <w:left w:val="nil"/>
              <w:bottom w:val="single" w:color="auto" w:sz="4" w:space="0"/>
              <w:right w:val="single" w:color="auto" w:sz="4" w:space="0"/>
            </w:tcBorders>
            <w:shd w:val="clear" w:color="auto" w:fill="auto"/>
          </w:tcPr>
          <w:p>
            <w:pPr>
              <w:pStyle w:val="46"/>
              <w:jc w:val="center"/>
              <w:rPr>
                <w:rFonts w:cs="宋体"/>
                <w:sz w:val="21"/>
                <w:szCs w:val="21"/>
                <w:lang w:val="en-US" w:eastAsia="zh-CN"/>
              </w:rPr>
            </w:pPr>
            <w:r>
              <w:rPr>
                <w:rFonts w:cs="宋体"/>
                <w:sz w:val="21"/>
                <w:szCs w:val="21"/>
                <w:lang w:val="en-US" w:eastAsia="zh-CN"/>
              </w:rPr>
              <w:t>10级</w:t>
            </w:r>
          </w:p>
        </w:tc>
      </w:tr>
    </w:tbl>
    <w:p>
      <w:pPr>
        <w:ind w:firstLine="420"/>
        <w:contextualSpacing/>
        <w:rPr>
          <w:rFonts w:ascii="宋体" w:hAnsi="宋体"/>
          <w:szCs w:val="21"/>
        </w:rPr>
      </w:pPr>
    </w:p>
    <w:p>
      <w:pPr>
        <w:pStyle w:val="4"/>
        <w:numPr>
          <w:ilvl w:val="1"/>
          <w:numId w:val="1"/>
        </w:numPr>
        <w:ind w:left="0" w:firstLine="0"/>
        <w:contextualSpacing/>
        <w:rPr>
          <w:sz w:val="21"/>
          <w:szCs w:val="21"/>
        </w:rPr>
      </w:pPr>
      <w:bookmarkStart w:id="43" w:name="_Toc356463486"/>
      <w:r>
        <w:rPr>
          <w:rFonts w:hint="eastAsia"/>
          <w:sz w:val="21"/>
          <w:szCs w:val="21"/>
        </w:rPr>
        <w:t>胃结构损伤</w:t>
      </w:r>
      <w:bookmarkEnd w:id="43"/>
    </w:p>
    <w:p>
      <w:pPr>
        <w:ind w:firstLine="420"/>
        <w:contextualSpacing/>
        <w:rPr>
          <w:rFonts w:ascii="宋体" w:hAnsi="宋体"/>
          <w:szCs w:val="21"/>
        </w:rPr>
      </w:pPr>
    </w:p>
    <w:tbl>
      <w:tblPr>
        <w:tblStyle w:val="18"/>
        <w:tblW w:w="830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258" w:type="dxa"/>
            <w:shd w:val="clear" w:color="auto" w:fill="auto"/>
          </w:tcPr>
          <w:p>
            <w:pPr>
              <w:pStyle w:val="46"/>
              <w:rPr>
                <w:rFonts w:cs="宋体"/>
                <w:sz w:val="21"/>
                <w:szCs w:val="21"/>
                <w:lang w:val="en-US" w:eastAsia="zh-CN"/>
              </w:rPr>
            </w:pPr>
            <w:r>
              <w:rPr>
                <w:rFonts w:hint="eastAsia" w:cs="宋体"/>
                <w:sz w:val="21"/>
                <w:szCs w:val="21"/>
                <w:lang w:val="en-US" w:eastAsia="zh-CN"/>
              </w:rPr>
              <w:t>腹部损伤导致全胃切除</w:t>
            </w:r>
          </w:p>
        </w:tc>
        <w:tc>
          <w:tcPr>
            <w:tcW w:w="1043"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58" w:type="dxa"/>
            <w:shd w:val="clear" w:color="auto" w:fill="auto"/>
          </w:tcPr>
          <w:p>
            <w:pPr>
              <w:pStyle w:val="46"/>
              <w:rPr>
                <w:rFonts w:cs="宋体"/>
                <w:sz w:val="21"/>
                <w:szCs w:val="21"/>
                <w:lang w:val="en-US" w:eastAsia="zh-CN"/>
              </w:rPr>
            </w:pPr>
            <w:r>
              <w:rPr>
                <w:rFonts w:hint="eastAsia" w:cs="宋体"/>
                <w:sz w:val="21"/>
                <w:szCs w:val="21"/>
                <w:lang w:val="en-US" w:eastAsia="zh-CN"/>
              </w:rPr>
              <w:t>腹部损伤导致胃切除大于等于</w:t>
            </w:r>
            <w:r>
              <w:rPr>
                <w:rFonts w:cs="宋体"/>
                <w:sz w:val="21"/>
                <w:szCs w:val="21"/>
                <w:lang w:val="en-US" w:eastAsia="zh-CN"/>
              </w:rPr>
              <w:t>50%</w:t>
            </w:r>
          </w:p>
        </w:tc>
        <w:tc>
          <w:tcPr>
            <w:tcW w:w="1043"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7级</w:t>
            </w:r>
          </w:p>
        </w:tc>
      </w:tr>
    </w:tbl>
    <w:p>
      <w:pPr>
        <w:ind w:firstLine="420"/>
        <w:contextualSpacing/>
        <w:rPr>
          <w:rFonts w:ascii="宋体" w:hAnsi="宋体"/>
          <w:szCs w:val="21"/>
        </w:rPr>
      </w:pPr>
    </w:p>
    <w:p>
      <w:pPr>
        <w:pStyle w:val="4"/>
        <w:numPr>
          <w:ilvl w:val="1"/>
          <w:numId w:val="1"/>
        </w:numPr>
        <w:ind w:left="0" w:firstLine="0"/>
        <w:contextualSpacing/>
        <w:rPr>
          <w:sz w:val="21"/>
          <w:szCs w:val="21"/>
        </w:rPr>
      </w:pPr>
      <w:bookmarkStart w:id="44" w:name="_Toc356463487"/>
      <w:r>
        <w:rPr>
          <w:rFonts w:hint="eastAsia"/>
          <w:sz w:val="21"/>
          <w:szCs w:val="21"/>
        </w:rPr>
        <w:t>胰结构损伤或代谢功能障碍</w:t>
      </w:r>
      <w:bookmarkEnd w:id="44"/>
    </w:p>
    <w:p>
      <w:pPr>
        <w:ind w:firstLine="420"/>
        <w:contextualSpacing/>
        <w:rPr>
          <w:rFonts w:ascii="宋体" w:hAnsi="宋体"/>
          <w:szCs w:val="21"/>
        </w:rPr>
      </w:pPr>
      <w:r>
        <w:rPr>
          <w:rFonts w:hint="eastAsia" w:ascii="宋体" w:hAnsi="宋体"/>
          <w:szCs w:val="21"/>
        </w:rPr>
        <w:t>本标准中的代谢功能障碍是指胰岛素依赖。</w:t>
      </w:r>
    </w:p>
    <w:p>
      <w:pPr>
        <w:ind w:firstLine="420"/>
        <w:contextualSpacing/>
        <w:rPr>
          <w:rFonts w:ascii="宋体" w:hAnsi="宋体"/>
          <w:szCs w:val="21"/>
        </w:rPr>
      </w:pPr>
    </w:p>
    <w:tbl>
      <w:tblPr>
        <w:tblStyle w:val="18"/>
        <w:tblW w:w="830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58" w:type="dxa"/>
            <w:shd w:val="clear" w:color="auto" w:fill="auto"/>
          </w:tcPr>
          <w:p>
            <w:pPr>
              <w:pStyle w:val="46"/>
              <w:rPr>
                <w:rFonts w:cs="宋体"/>
                <w:sz w:val="21"/>
                <w:szCs w:val="21"/>
                <w:lang w:val="en-US" w:eastAsia="zh-CN"/>
              </w:rPr>
            </w:pPr>
            <w:r>
              <w:rPr>
                <w:rFonts w:hint="eastAsia" w:cs="宋体"/>
                <w:sz w:val="21"/>
                <w:szCs w:val="21"/>
                <w:lang w:val="en-US" w:eastAsia="zh-CN"/>
              </w:rPr>
              <w:t>腹部损伤导致胰完全切除</w:t>
            </w:r>
          </w:p>
        </w:tc>
        <w:tc>
          <w:tcPr>
            <w:tcW w:w="1043"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 xml:space="preserve">1 </w:t>
            </w:r>
            <w:r>
              <w:rPr>
                <w:rFonts w:hint="eastAsia" w:cs="宋体"/>
                <w:color w:val="000000"/>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58" w:type="dxa"/>
            <w:shd w:val="clear" w:color="auto" w:fill="auto"/>
          </w:tcPr>
          <w:p>
            <w:pPr>
              <w:pStyle w:val="46"/>
              <w:rPr>
                <w:rFonts w:cs="宋体"/>
                <w:sz w:val="21"/>
                <w:szCs w:val="21"/>
                <w:lang w:val="en-US" w:eastAsia="zh-CN"/>
              </w:rPr>
            </w:pPr>
            <w:r>
              <w:rPr>
                <w:rFonts w:hint="eastAsia" w:cs="宋体"/>
                <w:sz w:val="21"/>
                <w:szCs w:val="21"/>
                <w:lang w:val="en-US" w:eastAsia="zh-CN"/>
              </w:rPr>
              <w:t>腹部损伤导致胰切除大于等于</w:t>
            </w:r>
            <w:r>
              <w:rPr>
                <w:rFonts w:cs="宋体"/>
                <w:sz w:val="21"/>
                <w:szCs w:val="21"/>
                <w:lang w:val="en-US" w:eastAsia="zh-CN"/>
              </w:rPr>
              <w:t>50%，且伴有胰岛素依赖</w:t>
            </w:r>
          </w:p>
        </w:tc>
        <w:tc>
          <w:tcPr>
            <w:tcW w:w="1043"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58" w:type="dxa"/>
            <w:shd w:val="clear" w:color="auto" w:fill="auto"/>
          </w:tcPr>
          <w:p>
            <w:pPr>
              <w:pStyle w:val="46"/>
              <w:rPr>
                <w:rFonts w:cs="宋体"/>
                <w:sz w:val="21"/>
                <w:szCs w:val="21"/>
                <w:lang w:val="en-US" w:eastAsia="zh-CN"/>
              </w:rPr>
            </w:pPr>
            <w:r>
              <w:rPr>
                <w:rFonts w:hint="eastAsia" w:cs="宋体"/>
                <w:sz w:val="21"/>
                <w:szCs w:val="21"/>
                <w:lang w:val="en-US" w:eastAsia="zh-CN"/>
              </w:rPr>
              <w:t>腹部损伤导致胰头、十二指肠切除</w:t>
            </w:r>
          </w:p>
        </w:tc>
        <w:tc>
          <w:tcPr>
            <w:tcW w:w="1043"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58" w:type="dxa"/>
            <w:shd w:val="clear" w:color="auto" w:fill="auto"/>
          </w:tcPr>
          <w:p>
            <w:pPr>
              <w:pStyle w:val="46"/>
              <w:rPr>
                <w:rFonts w:cs="宋体"/>
                <w:sz w:val="21"/>
                <w:szCs w:val="21"/>
                <w:lang w:val="en-US" w:eastAsia="zh-CN"/>
              </w:rPr>
            </w:pPr>
            <w:r>
              <w:rPr>
                <w:rFonts w:hint="eastAsia" w:cs="宋体"/>
                <w:sz w:val="21"/>
                <w:szCs w:val="21"/>
                <w:lang w:val="en-US" w:eastAsia="zh-CN"/>
              </w:rPr>
              <w:t>腹部损伤导致胰切除大于等于</w:t>
            </w:r>
            <w:r>
              <w:rPr>
                <w:rFonts w:cs="宋体"/>
                <w:sz w:val="21"/>
                <w:szCs w:val="21"/>
                <w:lang w:val="en-US" w:eastAsia="zh-CN"/>
              </w:rPr>
              <w:t>50%</w:t>
            </w:r>
          </w:p>
        </w:tc>
        <w:tc>
          <w:tcPr>
            <w:tcW w:w="1043"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58" w:type="dxa"/>
            <w:shd w:val="clear" w:color="auto" w:fill="auto"/>
          </w:tcPr>
          <w:p>
            <w:pPr>
              <w:pStyle w:val="46"/>
              <w:rPr>
                <w:rFonts w:cs="宋体"/>
                <w:sz w:val="21"/>
                <w:szCs w:val="21"/>
                <w:lang w:val="en-US" w:eastAsia="zh-CN"/>
              </w:rPr>
            </w:pPr>
            <w:r>
              <w:rPr>
                <w:rFonts w:hint="eastAsia" w:cs="宋体"/>
                <w:sz w:val="21"/>
                <w:szCs w:val="21"/>
                <w:lang w:val="en-US" w:eastAsia="zh-CN"/>
              </w:rPr>
              <w:t>腹部损伤导致胰部分切除</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8级</w:t>
            </w:r>
          </w:p>
        </w:tc>
      </w:tr>
    </w:tbl>
    <w:p>
      <w:pPr>
        <w:ind w:firstLine="420"/>
        <w:contextualSpacing/>
        <w:rPr>
          <w:rFonts w:ascii="宋体" w:hAnsi="宋体"/>
          <w:szCs w:val="21"/>
        </w:rPr>
      </w:pPr>
    </w:p>
    <w:p>
      <w:pPr>
        <w:pStyle w:val="4"/>
        <w:numPr>
          <w:ilvl w:val="1"/>
          <w:numId w:val="1"/>
        </w:numPr>
        <w:ind w:left="0" w:firstLine="0"/>
        <w:contextualSpacing/>
        <w:rPr>
          <w:sz w:val="21"/>
          <w:szCs w:val="21"/>
        </w:rPr>
      </w:pPr>
      <w:bookmarkStart w:id="45" w:name="_Toc356463488"/>
      <w:r>
        <w:rPr>
          <w:rFonts w:hint="eastAsia"/>
          <w:sz w:val="21"/>
          <w:szCs w:val="21"/>
        </w:rPr>
        <w:t>肝结构损伤</w:t>
      </w:r>
      <w:bookmarkEnd w:id="45"/>
    </w:p>
    <w:p>
      <w:pPr>
        <w:ind w:firstLine="420"/>
        <w:contextualSpacing/>
        <w:rPr>
          <w:rFonts w:ascii="宋体" w:hAnsi="宋体"/>
          <w:szCs w:val="21"/>
        </w:rPr>
      </w:pPr>
    </w:p>
    <w:tbl>
      <w:tblPr>
        <w:tblStyle w:val="18"/>
        <w:tblW w:w="830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7258" w:type="dxa"/>
            <w:shd w:val="clear" w:color="auto" w:fill="auto"/>
          </w:tcPr>
          <w:p>
            <w:pPr>
              <w:pStyle w:val="46"/>
              <w:rPr>
                <w:rFonts w:cs="宋体"/>
                <w:sz w:val="21"/>
                <w:szCs w:val="21"/>
                <w:lang w:val="en-US" w:eastAsia="zh-CN"/>
              </w:rPr>
            </w:pPr>
            <w:r>
              <w:rPr>
                <w:rFonts w:hint="eastAsia" w:cs="宋体"/>
                <w:sz w:val="21"/>
                <w:szCs w:val="21"/>
                <w:lang w:val="en-US" w:eastAsia="zh-CN"/>
              </w:rPr>
              <w:t>腹部损伤导致肝切除大于等于</w:t>
            </w:r>
            <w:r>
              <w:rPr>
                <w:rFonts w:cs="宋体"/>
                <w:sz w:val="21"/>
                <w:szCs w:val="21"/>
                <w:lang w:val="en-US" w:eastAsia="zh-CN"/>
              </w:rPr>
              <w:t>75%</w:t>
            </w:r>
          </w:p>
        </w:tc>
        <w:tc>
          <w:tcPr>
            <w:tcW w:w="1043"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258" w:type="dxa"/>
            <w:shd w:val="clear" w:color="auto" w:fill="auto"/>
          </w:tcPr>
          <w:p>
            <w:pPr>
              <w:pStyle w:val="46"/>
              <w:rPr>
                <w:rFonts w:cs="宋体"/>
                <w:sz w:val="21"/>
                <w:szCs w:val="21"/>
                <w:lang w:val="en-US" w:eastAsia="zh-CN"/>
              </w:rPr>
            </w:pPr>
            <w:r>
              <w:rPr>
                <w:rFonts w:hint="eastAsia" w:cs="宋体"/>
                <w:sz w:val="21"/>
                <w:szCs w:val="21"/>
                <w:lang w:val="en-US" w:eastAsia="zh-CN"/>
              </w:rPr>
              <w:t>腹部损伤导致肝切除大于等于</w:t>
            </w:r>
            <w:r>
              <w:rPr>
                <w:rFonts w:cs="宋体"/>
                <w:sz w:val="21"/>
                <w:szCs w:val="21"/>
                <w:lang w:val="en-US" w:eastAsia="zh-CN"/>
              </w:rPr>
              <w:t>50%</w:t>
            </w:r>
          </w:p>
        </w:tc>
        <w:tc>
          <w:tcPr>
            <w:tcW w:w="1043"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258" w:type="dxa"/>
            <w:shd w:val="clear" w:color="auto" w:fill="auto"/>
          </w:tcPr>
          <w:p>
            <w:pPr>
              <w:pStyle w:val="46"/>
              <w:rPr>
                <w:rFonts w:cs="宋体"/>
                <w:sz w:val="21"/>
                <w:szCs w:val="21"/>
                <w:lang w:val="en-US" w:eastAsia="zh-CN"/>
              </w:rPr>
            </w:pPr>
            <w:r>
              <w:rPr>
                <w:rFonts w:hint="eastAsia" w:cs="宋体"/>
                <w:sz w:val="21"/>
                <w:szCs w:val="21"/>
                <w:lang w:val="en-US" w:eastAsia="zh-CN"/>
              </w:rPr>
              <w:t>腹部损伤导致肝部分切除</w:t>
            </w:r>
          </w:p>
        </w:tc>
        <w:tc>
          <w:tcPr>
            <w:tcW w:w="1043" w:type="dxa"/>
            <w:shd w:val="clear" w:color="auto" w:fill="auto"/>
          </w:tcPr>
          <w:p>
            <w:pPr>
              <w:pStyle w:val="46"/>
              <w:jc w:val="center"/>
              <w:rPr>
                <w:rFonts w:cs="宋体"/>
                <w:color w:val="000000"/>
                <w:sz w:val="21"/>
                <w:szCs w:val="21"/>
                <w:lang w:val="en-US" w:eastAsia="zh-CN"/>
              </w:rPr>
            </w:pPr>
            <w:r>
              <w:rPr>
                <w:rFonts w:cs="宋体"/>
                <w:color w:val="000000"/>
                <w:sz w:val="21"/>
                <w:szCs w:val="21"/>
                <w:lang w:val="en-US" w:eastAsia="zh-CN"/>
              </w:rPr>
              <w:t>8级</w:t>
            </w:r>
          </w:p>
        </w:tc>
      </w:tr>
    </w:tbl>
    <w:p>
      <w:pPr>
        <w:ind w:firstLine="420"/>
        <w:contextualSpacing/>
        <w:rPr>
          <w:rFonts w:ascii="宋体" w:hAnsi="宋体"/>
          <w:szCs w:val="21"/>
        </w:rPr>
      </w:pPr>
    </w:p>
    <w:p>
      <w:pPr>
        <w:pStyle w:val="3"/>
        <w:numPr>
          <w:ilvl w:val="0"/>
          <w:numId w:val="1"/>
        </w:numPr>
        <w:contextualSpacing/>
        <w:rPr>
          <w:rFonts w:ascii="宋体" w:hAnsi="宋体"/>
          <w:sz w:val="21"/>
          <w:szCs w:val="21"/>
        </w:rPr>
      </w:pPr>
      <w:bookmarkStart w:id="46" w:name="_Toc356463489"/>
      <w:r>
        <w:rPr>
          <w:rFonts w:hint="eastAsia" w:ascii="宋体" w:hAnsi="宋体"/>
          <w:sz w:val="21"/>
          <w:szCs w:val="21"/>
        </w:rPr>
        <w:t>泌尿和生殖系统有关的结构和功能</w:t>
      </w:r>
      <w:bookmarkEnd w:id="46"/>
    </w:p>
    <w:p>
      <w:pPr>
        <w:pStyle w:val="4"/>
        <w:numPr>
          <w:ilvl w:val="1"/>
          <w:numId w:val="1"/>
        </w:numPr>
        <w:ind w:left="0" w:firstLine="0"/>
        <w:contextualSpacing/>
        <w:rPr>
          <w:sz w:val="21"/>
          <w:szCs w:val="21"/>
        </w:rPr>
      </w:pPr>
      <w:bookmarkStart w:id="47" w:name="OLE_LINK17"/>
      <w:bookmarkStart w:id="48" w:name="_Toc356463490"/>
      <w:r>
        <w:rPr>
          <w:rFonts w:hint="eastAsia"/>
          <w:sz w:val="21"/>
          <w:szCs w:val="21"/>
        </w:rPr>
        <w:t>泌尿系统</w:t>
      </w:r>
      <w:bookmarkEnd w:id="47"/>
      <w:r>
        <w:rPr>
          <w:rFonts w:hint="eastAsia"/>
          <w:sz w:val="21"/>
          <w:szCs w:val="21"/>
        </w:rPr>
        <w:t>的结构损伤</w:t>
      </w:r>
      <w:bookmarkEnd w:id="48"/>
    </w:p>
    <w:p>
      <w:pPr>
        <w:ind w:firstLine="420"/>
        <w:contextualSpacing/>
        <w:rPr>
          <w:rFonts w:ascii="宋体" w:hAnsi="宋体"/>
          <w:szCs w:val="21"/>
        </w:rPr>
      </w:pPr>
    </w:p>
    <w:tbl>
      <w:tblPr>
        <w:tblStyle w:val="18"/>
        <w:tblW w:w="830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25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腹部损伤导致双侧肾切除</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25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腹部损伤导致孤肾切除</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骨盆部损伤导致双侧输尿管缺失</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骨盆部损伤导致双侧输尿管闭锁</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shd w:val="clear" w:color="auto" w:fill="auto"/>
            <w:vAlign w:val="center"/>
          </w:tcPr>
          <w:p>
            <w:pPr>
              <w:pStyle w:val="46"/>
              <w:rPr>
                <w:rFonts w:hint="eastAsia" w:cs="宋体"/>
                <w:sz w:val="21"/>
                <w:szCs w:val="21"/>
                <w:lang w:val="en-US" w:eastAsia="zh-CN"/>
              </w:rPr>
            </w:pPr>
            <w:r>
              <w:rPr>
                <w:rFonts w:hint="eastAsia" w:cs="宋体"/>
                <w:sz w:val="21"/>
                <w:szCs w:val="21"/>
                <w:lang w:val="en-US" w:eastAsia="zh-CN"/>
              </w:rPr>
              <w:t>骨盆部损伤导致一侧输尿管缺失，另一侧输尿管闭锁</w:t>
            </w:r>
            <w:r>
              <w:rPr>
                <w:rFonts w:cs="宋体"/>
                <w:sz w:val="21"/>
                <w:szCs w:val="21"/>
                <w:lang w:val="en-US" w:eastAsia="zh-CN"/>
              </w:rPr>
              <w:tab/>
            </w:r>
          </w:p>
        </w:tc>
        <w:tc>
          <w:tcPr>
            <w:tcW w:w="1043" w:type="dxa"/>
            <w:shd w:val="clear" w:color="auto" w:fill="auto"/>
            <w:vAlign w:val="center"/>
          </w:tcPr>
          <w:p>
            <w:pPr>
              <w:pStyle w:val="46"/>
              <w:jc w:val="center"/>
              <w:rPr>
                <w:rFonts w:cs="宋体"/>
                <w:color w:val="000000"/>
                <w:sz w:val="21"/>
                <w:szCs w:val="21"/>
                <w:lang w:val="en-US" w:eastAsia="zh-CN"/>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骨盆部损伤导致膀胱切除</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骨盆部损伤导致尿道闭锁</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5</w:t>
            </w:r>
            <w:r>
              <w:rPr>
                <w:rFonts w:hint="eastAsia" w:cs="宋体"/>
                <w:color w:val="000000"/>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骨盆部损伤导致一侧输尿管缺失，另一侧输尿管严重狭窄</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骨盆部损伤导致一侧输尿管闭锁，另一侧输尿管严重狭窄</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腹部损伤导致一侧肾切除</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骨盆部损伤导致双侧输尿管严重狭窄</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骨盆部损伤导致一侧输尿管缺失，另一侧输尿管狭窄</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骨盆部损伤导致一侧输尿管闭锁，另一侧输尿管狭窄</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腹部损伤导致一侧肾部分切除</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骨盆部损伤导致一侧输尿管缺失</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骨盆部损伤导致一侧输尿管闭锁</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骨盆部损伤导致尿道狭窄</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骨盆部损伤导致膀胱部分切除</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腹部损伤导致肾破裂修补</w:t>
            </w:r>
          </w:p>
        </w:tc>
        <w:tc>
          <w:tcPr>
            <w:tcW w:w="1043"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骨盆部损伤导致一侧输尿管严重狭窄</w:t>
            </w:r>
          </w:p>
        </w:tc>
        <w:tc>
          <w:tcPr>
            <w:tcW w:w="1043"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骨盆部损伤导致膀胱破裂修补</w:t>
            </w:r>
          </w:p>
        </w:tc>
        <w:tc>
          <w:tcPr>
            <w:tcW w:w="1043"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10级</w:t>
            </w:r>
          </w:p>
        </w:tc>
      </w:tr>
    </w:tbl>
    <w:p>
      <w:pPr>
        <w:ind w:firstLine="420"/>
        <w:contextualSpacing/>
        <w:rPr>
          <w:rFonts w:ascii="宋体" w:hAnsi="宋体"/>
          <w:szCs w:val="21"/>
        </w:rPr>
      </w:pPr>
    </w:p>
    <w:p>
      <w:pPr>
        <w:pStyle w:val="4"/>
        <w:numPr>
          <w:ilvl w:val="1"/>
          <w:numId w:val="1"/>
        </w:numPr>
        <w:ind w:left="0" w:firstLine="0"/>
        <w:contextualSpacing/>
        <w:rPr>
          <w:sz w:val="21"/>
          <w:szCs w:val="21"/>
        </w:rPr>
      </w:pPr>
      <w:bookmarkStart w:id="49" w:name="_Toc356463491"/>
      <w:r>
        <w:rPr>
          <w:rFonts w:hint="eastAsia"/>
          <w:sz w:val="21"/>
          <w:szCs w:val="21"/>
        </w:rPr>
        <w:t>生殖系统的结构损伤</w:t>
      </w:r>
      <w:bookmarkEnd w:id="49"/>
    </w:p>
    <w:p>
      <w:pPr>
        <w:ind w:firstLine="420"/>
        <w:contextualSpacing/>
        <w:rPr>
          <w:rFonts w:ascii="宋体" w:hAnsi="宋体"/>
          <w:szCs w:val="21"/>
        </w:rPr>
      </w:pPr>
    </w:p>
    <w:tbl>
      <w:tblPr>
        <w:tblStyle w:val="18"/>
        <w:tblW w:w="8329" w:type="dxa"/>
        <w:tblInd w:w="80" w:type="dxa"/>
        <w:tblLayout w:type="autofit"/>
        <w:tblCellMar>
          <w:top w:w="0" w:type="dxa"/>
          <w:left w:w="108" w:type="dxa"/>
          <w:bottom w:w="0" w:type="dxa"/>
          <w:right w:w="108" w:type="dxa"/>
        </w:tblCellMar>
      </w:tblPr>
      <w:tblGrid>
        <w:gridCol w:w="7258"/>
        <w:gridCol w:w="1071"/>
      </w:tblGrid>
      <w:tr>
        <w:tblPrEx>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会阴部损伤导致双侧睾丸缺失</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3级</w:t>
            </w:r>
          </w:p>
        </w:tc>
      </w:tr>
      <w:tr>
        <w:tblPrEx>
          <w:tblCellMar>
            <w:top w:w="0" w:type="dxa"/>
            <w:left w:w="108" w:type="dxa"/>
            <w:bottom w:w="0" w:type="dxa"/>
            <w:right w:w="108" w:type="dxa"/>
          </w:tblCellMar>
        </w:tblPrEx>
        <w:trPr>
          <w:trHeight w:val="275"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会阴部损伤导致双侧睾丸完全萎缩</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3级</w:t>
            </w:r>
          </w:p>
        </w:tc>
      </w:tr>
      <w:tr>
        <w:tblPrEx>
          <w:tblCellMar>
            <w:top w:w="0" w:type="dxa"/>
            <w:left w:w="108" w:type="dxa"/>
            <w:bottom w:w="0" w:type="dxa"/>
            <w:right w:w="108" w:type="dxa"/>
          </w:tblCellMar>
        </w:tblPrEx>
        <w:trPr>
          <w:trHeight w:val="275"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6"/>
              <w:rPr>
                <w:rFonts w:hint="eastAsia" w:cs="宋体"/>
                <w:sz w:val="21"/>
                <w:szCs w:val="21"/>
                <w:lang w:val="en-US" w:eastAsia="zh-CN"/>
              </w:rPr>
            </w:pPr>
            <w:r>
              <w:rPr>
                <w:rFonts w:hint="eastAsia" w:cs="宋体"/>
                <w:sz w:val="21"/>
                <w:szCs w:val="21"/>
                <w:lang w:val="en-US" w:eastAsia="zh-CN"/>
              </w:rPr>
              <w:t>会阴部损伤导致一侧睾丸缺失，另一侧睾丸完全萎缩</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3级</w:t>
            </w:r>
          </w:p>
        </w:tc>
      </w:tr>
      <w:tr>
        <w:tblPrEx>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会阴部损伤导致阴茎体完全缺失</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4级</w:t>
            </w:r>
          </w:p>
        </w:tc>
      </w:tr>
      <w:tr>
        <w:tblPrEx>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会阴部损伤导致阴道闭锁</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5级</w:t>
            </w:r>
          </w:p>
        </w:tc>
      </w:tr>
      <w:tr>
        <w:tblPrEx>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会阴部损伤导致阴茎体缺失大于</w:t>
            </w:r>
            <w:r>
              <w:rPr>
                <w:rFonts w:cs="宋体"/>
                <w:sz w:val="21"/>
                <w:szCs w:val="21"/>
                <w:lang w:val="en-US" w:eastAsia="zh-CN"/>
              </w:rPr>
              <w:t>50%</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5级</w:t>
            </w:r>
          </w:p>
        </w:tc>
      </w:tr>
      <w:tr>
        <w:tblPrEx>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会阴部损伤导致双侧输精管缺失</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6级</w:t>
            </w:r>
          </w:p>
        </w:tc>
      </w:tr>
      <w:tr>
        <w:tblPrEx>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会阴部损伤导致双侧输精管闭锁</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6级</w:t>
            </w:r>
          </w:p>
        </w:tc>
      </w:tr>
      <w:tr>
        <w:tblPrEx>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6"/>
              <w:rPr>
                <w:rFonts w:hint="eastAsia" w:cs="宋体"/>
                <w:sz w:val="21"/>
                <w:szCs w:val="21"/>
                <w:lang w:val="en-US" w:eastAsia="zh-CN"/>
              </w:rPr>
            </w:pPr>
            <w:r>
              <w:rPr>
                <w:rFonts w:hint="eastAsia" w:cs="宋体"/>
                <w:sz w:val="21"/>
                <w:szCs w:val="21"/>
                <w:lang w:val="en-US" w:eastAsia="zh-CN"/>
              </w:rPr>
              <w:t>会阴部损伤导致一侧输精管缺失，另一侧输精管闭锁</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6级</w:t>
            </w:r>
          </w:p>
        </w:tc>
      </w:tr>
      <w:tr>
        <w:tblPrEx>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胸部损伤导致女性双侧乳房缺失</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7级</w:t>
            </w:r>
          </w:p>
        </w:tc>
      </w:tr>
      <w:tr>
        <w:tblPrEx>
          <w:tblCellMar>
            <w:top w:w="0" w:type="dxa"/>
            <w:left w:w="108" w:type="dxa"/>
            <w:bottom w:w="0" w:type="dxa"/>
            <w:right w:w="108" w:type="dxa"/>
          </w:tblCellMar>
        </w:tblPrEx>
        <w:trPr>
          <w:trHeight w:val="196"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骨盆部损伤导致子宫切除</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7级</w:t>
            </w:r>
          </w:p>
        </w:tc>
      </w:tr>
      <w:tr>
        <w:tblPrEx>
          <w:tblCellMar>
            <w:top w:w="0" w:type="dxa"/>
            <w:left w:w="108" w:type="dxa"/>
            <w:bottom w:w="0" w:type="dxa"/>
            <w:right w:w="108" w:type="dxa"/>
          </w:tblCellMar>
        </w:tblPrEx>
        <w:trPr>
          <w:trHeight w:val="87"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胸部损伤导致女性一侧乳房缺失，另一侧乳房部分缺失</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8级</w:t>
            </w:r>
          </w:p>
        </w:tc>
      </w:tr>
      <w:tr>
        <w:tblPrEx>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胸部损伤导致女性一侧乳房缺失</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9级</w:t>
            </w:r>
          </w:p>
        </w:tc>
      </w:tr>
      <w:tr>
        <w:tblPrEx>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骨盆部损伤导致子宫部分切除</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9级</w:t>
            </w:r>
          </w:p>
        </w:tc>
      </w:tr>
      <w:tr>
        <w:tblPrEx>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骨盆部损伤导致子宫破裂修补</w:t>
            </w:r>
          </w:p>
        </w:tc>
        <w:tc>
          <w:tcPr>
            <w:tcW w:w="1071" w:type="dxa"/>
            <w:tcBorders>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10级</w:t>
            </w:r>
          </w:p>
        </w:tc>
      </w:tr>
      <w:tr>
        <w:tblPrEx>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会阴部损伤导致一侧睾丸缺失</w:t>
            </w:r>
          </w:p>
        </w:tc>
        <w:tc>
          <w:tcPr>
            <w:tcW w:w="1071" w:type="dxa"/>
            <w:tcBorders>
              <w:top w:val="nil"/>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10级</w:t>
            </w:r>
          </w:p>
        </w:tc>
      </w:tr>
      <w:tr>
        <w:tblPrEx>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会阴部损伤导致一侧睾丸完全萎缩</w:t>
            </w:r>
          </w:p>
        </w:tc>
        <w:tc>
          <w:tcPr>
            <w:tcW w:w="1071" w:type="dxa"/>
            <w:tcBorders>
              <w:top w:val="nil"/>
              <w:left w:val="nil"/>
              <w:bottom w:val="single" w:color="auto" w:sz="4" w:space="0"/>
              <w:right w:val="single" w:color="auto" w:sz="4" w:space="0"/>
            </w:tcBorders>
            <w:shd w:val="clear" w:color="auto" w:fill="auto"/>
          </w:tcPr>
          <w:p>
            <w:pPr>
              <w:pStyle w:val="46"/>
              <w:jc w:val="center"/>
              <w:rPr>
                <w:rFonts w:cs="宋体"/>
                <w:sz w:val="21"/>
                <w:szCs w:val="21"/>
                <w:lang w:val="en-US" w:eastAsia="zh-CN"/>
              </w:rPr>
            </w:pPr>
            <w:r>
              <w:rPr>
                <w:rFonts w:cs="宋体"/>
                <w:sz w:val="21"/>
                <w:szCs w:val="21"/>
                <w:lang w:val="en-US" w:eastAsia="zh-CN"/>
              </w:rPr>
              <w:t>10级</w:t>
            </w:r>
          </w:p>
        </w:tc>
      </w:tr>
      <w:tr>
        <w:tblPrEx>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会阴部损伤导致一侧输精管缺失</w:t>
            </w:r>
          </w:p>
        </w:tc>
        <w:tc>
          <w:tcPr>
            <w:tcW w:w="1071" w:type="dxa"/>
            <w:tcBorders>
              <w:top w:val="nil"/>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10级</w:t>
            </w:r>
          </w:p>
        </w:tc>
      </w:tr>
      <w:tr>
        <w:tblPrEx>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会阴部损伤导致一侧输精管闭锁</w:t>
            </w:r>
          </w:p>
        </w:tc>
        <w:tc>
          <w:tcPr>
            <w:tcW w:w="1071" w:type="dxa"/>
            <w:tcBorders>
              <w:top w:val="nil"/>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10级</w:t>
            </w:r>
          </w:p>
        </w:tc>
      </w:tr>
    </w:tbl>
    <w:p>
      <w:pPr>
        <w:ind w:firstLine="420"/>
        <w:contextualSpacing/>
        <w:rPr>
          <w:rFonts w:ascii="宋体" w:hAnsi="宋体"/>
          <w:szCs w:val="21"/>
        </w:rPr>
      </w:pPr>
    </w:p>
    <w:p>
      <w:pPr>
        <w:pStyle w:val="3"/>
        <w:numPr>
          <w:ilvl w:val="0"/>
          <w:numId w:val="1"/>
        </w:numPr>
        <w:contextualSpacing/>
        <w:rPr>
          <w:rFonts w:ascii="宋体" w:hAnsi="宋体"/>
          <w:sz w:val="21"/>
          <w:szCs w:val="21"/>
        </w:rPr>
      </w:pPr>
      <w:bookmarkStart w:id="50" w:name="_Toc356463492"/>
      <w:r>
        <w:rPr>
          <w:rFonts w:hint="eastAsia" w:ascii="宋体" w:hAnsi="宋体"/>
          <w:sz w:val="21"/>
          <w:szCs w:val="21"/>
        </w:rPr>
        <w:t>神经肌肉骨骼和运动有关的结构和功能</w:t>
      </w:r>
      <w:bookmarkEnd w:id="50"/>
    </w:p>
    <w:p>
      <w:pPr>
        <w:pStyle w:val="4"/>
        <w:numPr>
          <w:ilvl w:val="1"/>
          <w:numId w:val="1"/>
        </w:numPr>
        <w:ind w:left="0" w:firstLine="0"/>
        <w:contextualSpacing/>
        <w:rPr>
          <w:sz w:val="21"/>
          <w:szCs w:val="21"/>
        </w:rPr>
      </w:pPr>
      <w:bookmarkStart w:id="51" w:name="_Toc356463493"/>
      <w:r>
        <w:rPr>
          <w:rFonts w:hint="eastAsia"/>
          <w:sz w:val="21"/>
          <w:szCs w:val="21"/>
        </w:rPr>
        <w:t>头颈部的结构损伤</w:t>
      </w:r>
      <w:bookmarkEnd w:id="51"/>
    </w:p>
    <w:p>
      <w:pPr>
        <w:ind w:firstLine="420"/>
        <w:contextualSpacing/>
        <w:rPr>
          <w:rFonts w:ascii="宋体" w:hAnsi="宋体"/>
          <w:szCs w:val="21"/>
        </w:rPr>
      </w:pPr>
    </w:p>
    <w:tbl>
      <w:tblPr>
        <w:tblStyle w:val="18"/>
        <w:tblW w:w="831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双侧上颌骨完全缺失</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双侧下颌骨完全缺失</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一侧上颌骨及对侧下颌骨完全缺失</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同侧上、下颌骨完全缺失</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上颌骨、下颌骨缺损，且牙齿脱落大于等于</w:t>
            </w:r>
            <w:r>
              <w:rPr>
                <w:rFonts w:cs="宋体"/>
                <w:sz w:val="21"/>
                <w:szCs w:val="21"/>
                <w:lang w:val="en-US" w:eastAsia="zh-CN"/>
              </w:rPr>
              <w:t>24枚</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一侧上颌骨完全缺失</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一侧下颌骨完全缺失</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一侧上颌骨缺损大于等于</w:t>
            </w:r>
            <w:r>
              <w:rPr>
                <w:rFonts w:cs="宋体"/>
                <w:sz w:val="21"/>
                <w:szCs w:val="21"/>
                <w:lang w:val="en-US" w:eastAsia="zh-CN"/>
              </w:rPr>
              <w:t>50%，且口腔、颜面部软组织缺损大于20cm</w:t>
            </w:r>
            <w:r>
              <w:rPr>
                <w:rFonts w:cs="宋体"/>
                <w:sz w:val="21"/>
                <w:szCs w:val="21"/>
                <w:vertAlign w:val="superscript"/>
                <w:lang w:val="en-US" w:eastAsia="zh-CN"/>
              </w:rPr>
              <w:t>2</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一侧下颌骨缺损大于等于</w:t>
            </w:r>
            <w:r>
              <w:rPr>
                <w:rFonts w:cs="宋体"/>
                <w:sz w:val="21"/>
                <w:szCs w:val="21"/>
                <w:lang w:val="en-US" w:eastAsia="zh-CN"/>
              </w:rPr>
              <w:t>6cm，且口腔、颜面部软组织缺损大于20cm</w:t>
            </w:r>
            <w:r>
              <w:rPr>
                <w:rFonts w:cs="宋体"/>
                <w:sz w:val="21"/>
                <w:szCs w:val="21"/>
                <w:vertAlign w:val="superscript"/>
                <w:lang w:val="en-US" w:eastAsia="zh-CN"/>
              </w:rPr>
              <w:t>2</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面颊部洞穿性缺损大于</w:t>
            </w:r>
            <w:r>
              <w:rPr>
                <w:rFonts w:cs="宋体"/>
                <w:sz w:val="21"/>
                <w:szCs w:val="21"/>
                <w:lang w:val="en-US" w:eastAsia="zh-CN"/>
              </w:rPr>
              <w:t>20cm</w:t>
            </w:r>
            <w:r>
              <w:rPr>
                <w:rFonts w:cs="宋体"/>
                <w:sz w:val="21"/>
                <w:szCs w:val="21"/>
                <w:vertAlign w:val="superscript"/>
                <w:lang w:val="en-US" w:eastAsia="zh-CN"/>
              </w:rPr>
              <w:t>2</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上颌骨、下颌骨缺损，且牙齿脱落大于等于</w:t>
            </w:r>
            <w:r>
              <w:rPr>
                <w:rFonts w:cs="宋体"/>
                <w:sz w:val="21"/>
                <w:szCs w:val="21"/>
                <w:lang w:val="en-US" w:eastAsia="zh-CN"/>
              </w:rPr>
              <w:t>20枚</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一侧上颌骨缺损大于</w:t>
            </w:r>
            <w:r>
              <w:rPr>
                <w:rFonts w:cs="宋体"/>
                <w:sz w:val="21"/>
                <w:szCs w:val="21"/>
                <w:lang w:val="en-US" w:eastAsia="zh-CN"/>
              </w:rPr>
              <w:t>25%，小于50%，且口腔、颜面部软组织缺损大于10cm</w:t>
            </w:r>
            <w:r>
              <w:rPr>
                <w:rFonts w:cs="宋体"/>
                <w:sz w:val="21"/>
                <w:szCs w:val="21"/>
                <w:vertAlign w:val="superscript"/>
                <w:lang w:val="en-US" w:eastAsia="zh-CN"/>
              </w:rPr>
              <w:t>2</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一侧下颌骨缺损大于等于</w:t>
            </w:r>
            <w:r>
              <w:rPr>
                <w:rFonts w:cs="宋体"/>
                <w:sz w:val="21"/>
                <w:szCs w:val="21"/>
                <w:lang w:val="en-US" w:eastAsia="zh-CN"/>
              </w:rPr>
              <w:t>4cm，且口腔、颜面部软组织缺损大于10cm</w:t>
            </w:r>
            <w:r>
              <w:rPr>
                <w:rFonts w:cs="宋体"/>
                <w:sz w:val="21"/>
                <w:szCs w:val="21"/>
                <w:vertAlign w:val="superscript"/>
                <w:lang w:val="en-US" w:eastAsia="zh-CN"/>
              </w:rPr>
              <w:t>2</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一侧上颌骨缺损等于</w:t>
            </w:r>
            <w:r>
              <w:rPr>
                <w:rFonts w:cs="宋体"/>
                <w:sz w:val="21"/>
                <w:szCs w:val="21"/>
                <w:lang w:val="en-US" w:eastAsia="zh-CN"/>
              </w:rPr>
              <w:t>25%，且口腔、颜面部软组织缺损大于10cm</w:t>
            </w:r>
            <w:r>
              <w:rPr>
                <w:rFonts w:cs="宋体"/>
                <w:sz w:val="21"/>
                <w:szCs w:val="21"/>
                <w:vertAlign w:val="superscript"/>
                <w:lang w:val="en-US" w:eastAsia="zh-CN"/>
              </w:rPr>
              <w:t>2</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面部软组织缺损大于</w:t>
            </w:r>
            <w:r>
              <w:rPr>
                <w:rFonts w:cs="宋体"/>
                <w:sz w:val="21"/>
                <w:szCs w:val="21"/>
                <w:lang w:val="en-US" w:eastAsia="zh-CN"/>
              </w:rPr>
              <w:t>20cm</w:t>
            </w:r>
            <w:r>
              <w:rPr>
                <w:rFonts w:cs="宋体"/>
                <w:sz w:val="21"/>
                <w:szCs w:val="21"/>
                <w:vertAlign w:val="superscript"/>
                <w:lang w:val="en-US" w:eastAsia="zh-CN"/>
              </w:rPr>
              <w:t>2</w:t>
            </w:r>
            <w:r>
              <w:rPr>
                <w:rFonts w:hint="eastAsia" w:cs="宋体"/>
                <w:sz w:val="21"/>
                <w:szCs w:val="21"/>
                <w:lang w:val="en-US" w:eastAsia="zh-CN"/>
              </w:rPr>
              <w:t>，且伴发涎瘘</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上颌骨、下颌骨缺损，且牙齿脱落大于等于</w:t>
            </w:r>
            <w:r>
              <w:rPr>
                <w:rFonts w:cs="宋体"/>
                <w:sz w:val="21"/>
                <w:szCs w:val="21"/>
                <w:lang w:val="en-US" w:eastAsia="zh-CN"/>
              </w:rPr>
              <w:t>16枚</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上颌骨、下颌骨缺损，且牙齿脱落大于等于</w:t>
            </w:r>
            <w:r>
              <w:rPr>
                <w:rFonts w:cs="宋体"/>
                <w:sz w:val="21"/>
                <w:szCs w:val="21"/>
                <w:lang w:val="en-US" w:eastAsia="zh-CN"/>
              </w:rPr>
              <w:t>12枚</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上颌骨、下颌骨缺损，且牙齿脱落大于等于</w:t>
            </w:r>
            <w:r>
              <w:rPr>
                <w:rFonts w:cs="宋体"/>
                <w:sz w:val="21"/>
                <w:szCs w:val="21"/>
                <w:lang w:val="en-US" w:eastAsia="zh-CN"/>
              </w:rPr>
              <w:t>8枚</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上颌骨、下颌骨缺损，且牙齿脱落大于等于</w:t>
            </w:r>
            <w:r>
              <w:rPr>
                <w:rFonts w:cs="宋体"/>
                <w:sz w:val="21"/>
                <w:szCs w:val="21"/>
                <w:lang w:val="en-US" w:eastAsia="zh-CN"/>
              </w:rPr>
              <w:t>4枚</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颅骨缺损大于等于</w:t>
            </w:r>
            <w:r>
              <w:rPr>
                <w:rFonts w:cs="宋体"/>
                <w:sz w:val="21"/>
                <w:szCs w:val="21"/>
                <w:lang w:val="en-US" w:eastAsia="zh-CN"/>
              </w:rPr>
              <w:t>6cm</w:t>
            </w:r>
            <w:r>
              <w:rPr>
                <w:rFonts w:cs="宋体"/>
                <w:sz w:val="21"/>
                <w:szCs w:val="21"/>
                <w:vertAlign w:val="superscript"/>
                <w:lang w:val="en-US" w:eastAsia="zh-CN"/>
              </w:rPr>
              <w:t>2</w:t>
            </w:r>
          </w:p>
        </w:tc>
        <w:tc>
          <w:tcPr>
            <w:tcW w:w="1071" w:type="dxa"/>
            <w:shd w:val="clear" w:color="auto" w:fill="auto"/>
          </w:tcPr>
          <w:p>
            <w:pPr>
              <w:pStyle w:val="46"/>
              <w:jc w:val="center"/>
              <w:rPr>
                <w:rFonts w:cs="宋体"/>
                <w:sz w:val="21"/>
                <w:szCs w:val="21"/>
                <w:lang w:val="en-US" w:eastAsia="zh-CN"/>
              </w:rPr>
            </w:pPr>
            <w:r>
              <w:rPr>
                <w:rFonts w:cs="宋体"/>
                <w:sz w:val="21"/>
                <w:szCs w:val="21"/>
                <w:lang w:val="en-US" w:eastAsia="zh-CN"/>
              </w:rPr>
              <w:t>10级</w:t>
            </w:r>
          </w:p>
        </w:tc>
      </w:tr>
    </w:tbl>
    <w:p>
      <w:pPr>
        <w:ind w:firstLine="420"/>
        <w:contextualSpacing/>
        <w:rPr>
          <w:rFonts w:ascii="宋体" w:hAnsi="宋体"/>
          <w:szCs w:val="21"/>
        </w:rPr>
      </w:pPr>
    </w:p>
    <w:p>
      <w:pPr>
        <w:pStyle w:val="4"/>
        <w:numPr>
          <w:ilvl w:val="1"/>
          <w:numId w:val="1"/>
        </w:numPr>
        <w:ind w:left="0" w:firstLine="0"/>
        <w:contextualSpacing/>
        <w:rPr>
          <w:sz w:val="21"/>
          <w:szCs w:val="21"/>
        </w:rPr>
      </w:pPr>
      <w:bookmarkStart w:id="52" w:name="_Toc356463494"/>
      <w:r>
        <w:rPr>
          <w:rFonts w:hint="eastAsia"/>
          <w:sz w:val="21"/>
          <w:szCs w:val="21"/>
        </w:rPr>
        <w:t>头颈部关节功能障碍</w:t>
      </w:r>
      <w:bookmarkEnd w:id="52"/>
    </w:p>
    <w:p>
      <w:pPr>
        <w:ind w:firstLine="420"/>
        <w:contextualSpacing/>
        <w:rPr>
          <w:rFonts w:ascii="宋体" w:hAnsi="宋体"/>
          <w:szCs w:val="21"/>
        </w:rPr>
      </w:pPr>
    </w:p>
    <w:tbl>
      <w:tblPr>
        <w:tblStyle w:val="18"/>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08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单侧颞下颌关节强直，张口困难Ⅲ度</w:t>
            </w:r>
          </w:p>
        </w:tc>
        <w:tc>
          <w:tcPr>
            <w:tcW w:w="1213"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08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双侧颞下颌关节强直，张口困难Ⅲ度</w:t>
            </w:r>
          </w:p>
        </w:tc>
        <w:tc>
          <w:tcPr>
            <w:tcW w:w="1213"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8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双侧颞下颌关节强直，张口困难Ⅱ度</w:t>
            </w:r>
            <w:r>
              <w:rPr>
                <w:rFonts w:cs="宋体"/>
                <w:sz w:val="21"/>
                <w:szCs w:val="21"/>
                <w:lang w:val="en-US" w:eastAsia="zh-CN"/>
              </w:rPr>
              <w:t xml:space="preserve"> </w:t>
            </w:r>
          </w:p>
        </w:tc>
        <w:tc>
          <w:tcPr>
            <w:tcW w:w="1213"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08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一侧颞下颌关节强直，张口困难</w:t>
            </w:r>
            <w:r>
              <w:rPr>
                <w:rFonts w:cs="宋体"/>
                <w:sz w:val="21"/>
                <w:szCs w:val="21"/>
                <w:lang w:val="en-US" w:eastAsia="zh-CN"/>
              </w:rPr>
              <w:t>I度</w:t>
            </w:r>
          </w:p>
        </w:tc>
        <w:tc>
          <w:tcPr>
            <w:tcW w:w="1213"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10级</w:t>
            </w:r>
          </w:p>
        </w:tc>
      </w:tr>
    </w:tbl>
    <w:p>
      <w:pPr>
        <w:pStyle w:val="44"/>
        <w:rPr>
          <w:rFonts w:ascii="宋体" w:hAnsi="宋体" w:eastAsia="宋体"/>
          <w:sz w:val="21"/>
          <w:szCs w:val="21"/>
        </w:rPr>
      </w:pPr>
      <w:r>
        <w:rPr>
          <w:rFonts w:hint="eastAsia" w:ascii="宋体" w:hAnsi="宋体" w:eastAsia="宋体"/>
          <w:sz w:val="21"/>
          <w:szCs w:val="21"/>
        </w:rPr>
        <w:t>注：张口困难判定及测量方法是以患者自身的食指、中指、无名指并列垂直置入上、下中切牙切缘间测量。正常张口度指张口时上述三指可垂直置入上、下切牙切缘间（相当于</w:t>
      </w:r>
      <w:r>
        <w:rPr>
          <w:rFonts w:ascii="宋体" w:hAnsi="宋体" w:eastAsia="宋体"/>
          <w:sz w:val="21"/>
          <w:szCs w:val="21"/>
        </w:rPr>
        <w:t>4.5cm左右）；张口困难I度指大张口时，只能垂直置</w:t>
      </w:r>
      <w:r>
        <w:rPr>
          <w:rFonts w:hint="eastAsia" w:ascii="宋体" w:hAnsi="宋体" w:eastAsia="宋体"/>
          <w:sz w:val="21"/>
          <w:szCs w:val="21"/>
        </w:rPr>
        <w:t>入</w:t>
      </w:r>
      <w:r>
        <w:rPr>
          <w:rFonts w:ascii="宋体" w:hAnsi="宋体" w:eastAsia="宋体"/>
          <w:sz w:val="21"/>
          <w:szCs w:val="21"/>
        </w:rPr>
        <w:t>食指和中指（相当于3cm左右）；张口困难II度指大张口时，只能垂直置</w:t>
      </w:r>
      <w:r>
        <w:rPr>
          <w:rFonts w:hint="eastAsia" w:ascii="宋体" w:hAnsi="宋体" w:eastAsia="宋体"/>
          <w:sz w:val="21"/>
          <w:szCs w:val="21"/>
        </w:rPr>
        <w:t>入</w:t>
      </w:r>
      <w:r>
        <w:rPr>
          <w:rFonts w:ascii="宋体" w:hAnsi="宋体" w:eastAsia="宋体"/>
          <w:sz w:val="21"/>
          <w:szCs w:val="21"/>
        </w:rPr>
        <w:t>食指（相当于1.7cm左右</w:t>
      </w:r>
      <w:r>
        <w:rPr>
          <w:rFonts w:hint="eastAsia" w:ascii="宋体" w:hAnsi="宋体" w:eastAsia="宋体"/>
          <w:sz w:val="21"/>
          <w:szCs w:val="21"/>
        </w:rPr>
        <w:t>）；张口困难</w:t>
      </w:r>
      <w:r>
        <w:rPr>
          <w:rFonts w:ascii="宋体" w:hAnsi="宋体" w:eastAsia="宋体"/>
          <w:sz w:val="21"/>
          <w:szCs w:val="21"/>
        </w:rPr>
        <w:t>III度指大张口时，上、下切牙间距小于食指之横径。</w:t>
      </w:r>
    </w:p>
    <w:p>
      <w:pPr>
        <w:pStyle w:val="4"/>
        <w:numPr>
          <w:ilvl w:val="1"/>
          <w:numId w:val="1"/>
        </w:numPr>
        <w:ind w:left="0" w:firstLine="0"/>
        <w:contextualSpacing/>
        <w:rPr>
          <w:sz w:val="21"/>
          <w:szCs w:val="21"/>
        </w:rPr>
      </w:pPr>
      <w:bookmarkStart w:id="53" w:name="_Toc356463495"/>
      <w:r>
        <w:rPr>
          <w:rFonts w:hint="eastAsia"/>
          <w:sz w:val="21"/>
          <w:szCs w:val="21"/>
        </w:rPr>
        <w:t>上肢的结构损伤，手功能或关节功能障碍</w:t>
      </w:r>
      <w:bookmarkEnd w:id="53"/>
    </w:p>
    <w:p>
      <w:pPr>
        <w:pStyle w:val="46"/>
        <w:ind w:firstLine="480"/>
        <w:rPr>
          <w:sz w:val="21"/>
          <w:szCs w:val="21"/>
        </w:rPr>
      </w:pPr>
    </w:p>
    <w:tbl>
      <w:tblPr>
        <w:tblStyle w:val="18"/>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708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双手完全缺失</w:t>
            </w:r>
          </w:p>
        </w:tc>
        <w:tc>
          <w:tcPr>
            <w:tcW w:w="1213"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8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双手完全丧失功能</w:t>
            </w:r>
          </w:p>
        </w:tc>
        <w:tc>
          <w:tcPr>
            <w:tcW w:w="1213"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4</w:t>
            </w:r>
            <w:r>
              <w:rPr>
                <w:rFonts w:hint="eastAsia" w:cs="宋体"/>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88" w:type="dxa"/>
            <w:shd w:val="clear" w:color="auto" w:fill="auto"/>
            <w:vAlign w:val="center"/>
          </w:tcPr>
          <w:p>
            <w:pPr>
              <w:pStyle w:val="46"/>
              <w:rPr>
                <w:rFonts w:hint="eastAsia" w:cs="宋体"/>
                <w:sz w:val="21"/>
                <w:szCs w:val="21"/>
                <w:lang w:val="en-US" w:eastAsia="zh-CN"/>
              </w:rPr>
            </w:pPr>
            <w:r>
              <w:rPr>
                <w:rFonts w:hint="eastAsia" w:cs="宋体"/>
                <w:sz w:val="21"/>
                <w:szCs w:val="21"/>
                <w:lang w:val="en-US" w:eastAsia="zh-CN"/>
              </w:rPr>
              <w:t>一手完全缺失，另一手完全丧失功能</w:t>
            </w:r>
          </w:p>
        </w:tc>
        <w:tc>
          <w:tcPr>
            <w:tcW w:w="1213"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4</w:t>
            </w:r>
            <w:r>
              <w:rPr>
                <w:rFonts w:hint="eastAsia" w:cs="宋体"/>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8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双手缺失（或丧失功能）大于等于</w:t>
            </w:r>
            <w:r>
              <w:rPr>
                <w:rFonts w:cs="宋体"/>
                <w:sz w:val="21"/>
                <w:szCs w:val="21"/>
                <w:lang w:val="en-US" w:eastAsia="zh-CN"/>
              </w:rPr>
              <w:t>90%</w:t>
            </w:r>
          </w:p>
        </w:tc>
        <w:tc>
          <w:tcPr>
            <w:tcW w:w="1213"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708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双手缺失（或丧失功能）大于等于</w:t>
            </w:r>
            <w:r>
              <w:rPr>
                <w:rFonts w:cs="宋体"/>
                <w:sz w:val="21"/>
                <w:szCs w:val="21"/>
                <w:lang w:val="en-US" w:eastAsia="zh-CN"/>
              </w:rPr>
              <w:t>70%</w:t>
            </w:r>
          </w:p>
        </w:tc>
        <w:tc>
          <w:tcPr>
            <w:tcW w:w="1213"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708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双手缺失（或丧失功能）大于等于5</w:t>
            </w:r>
            <w:r>
              <w:rPr>
                <w:rFonts w:cs="宋体"/>
                <w:sz w:val="21"/>
                <w:szCs w:val="21"/>
                <w:lang w:val="en-US" w:eastAsia="zh-CN"/>
              </w:rPr>
              <w:t>0%</w:t>
            </w:r>
          </w:p>
        </w:tc>
        <w:tc>
          <w:tcPr>
            <w:tcW w:w="1213" w:type="dxa"/>
            <w:shd w:val="clear" w:color="auto" w:fill="auto"/>
            <w:vAlign w:val="center"/>
          </w:tcPr>
          <w:p>
            <w:pPr>
              <w:pStyle w:val="46"/>
              <w:jc w:val="center"/>
              <w:rPr>
                <w:rFonts w:cs="宋体"/>
                <w:sz w:val="21"/>
                <w:szCs w:val="21"/>
                <w:lang w:val="en-US" w:eastAsia="zh-CN"/>
              </w:rPr>
            </w:pPr>
            <w:r>
              <w:rPr>
                <w:rFonts w:hint="eastAsia" w:cs="宋体"/>
                <w:sz w:val="21"/>
                <w:szCs w:val="21"/>
                <w:lang w:val="en-US" w:eastAsia="zh-CN"/>
              </w:rPr>
              <w:t>7</w:t>
            </w:r>
            <w:r>
              <w:rPr>
                <w:rFonts w:cs="宋体"/>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7088" w:type="dxa"/>
            <w:shd w:val="clear" w:color="auto" w:fill="auto"/>
          </w:tcPr>
          <w:p>
            <w:pPr>
              <w:pStyle w:val="46"/>
              <w:rPr>
                <w:rFonts w:cs="宋体"/>
                <w:sz w:val="21"/>
                <w:szCs w:val="21"/>
                <w:lang w:val="en-US" w:eastAsia="zh-CN"/>
              </w:rPr>
            </w:pPr>
            <w:r>
              <w:rPr>
                <w:rFonts w:hint="eastAsia" w:cs="宋体"/>
                <w:sz w:val="21"/>
                <w:szCs w:val="21"/>
                <w:lang w:val="en-US" w:eastAsia="zh-CN"/>
              </w:rPr>
              <w:t>一上肢三大关节中，有两个关节完全丧失功能</w:t>
            </w:r>
          </w:p>
        </w:tc>
        <w:tc>
          <w:tcPr>
            <w:tcW w:w="1213"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 w:hRule="atLeast"/>
        </w:trPr>
        <w:tc>
          <w:tcPr>
            <w:tcW w:w="7088" w:type="dxa"/>
            <w:shd w:val="clear" w:color="auto" w:fill="auto"/>
          </w:tcPr>
          <w:p>
            <w:pPr>
              <w:pStyle w:val="46"/>
              <w:rPr>
                <w:rFonts w:cs="宋体"/>
                <w:sz w:val="21"/>
                <w:szCs w:val="21"/>
                <w:lang w:val="en-US" w:eastAsia="zh-CN"/>
              </w:rPr>
            </w:pPr>
            <w:r>
              <w:rPr>
                <w:rFonts w:hint="eastAsia" w:cs="宋体"/>
                <w:sz w:val="21"/>
                <w:szCs w:val="21"/>
                <w:lang w:val="en-US" w:eastAsia="zh-CN"/>
              </w:rPr>
              <w:t>一上肢三大关节中，有一个关节完全丧失功能</w:t>
            </w:r>
          </w:p>
        </w:tc>
        <w:tc>
          <w:tcPr>
            <w:tcW w:w="1213"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 w:hRule="atLeast"/>
        </w:trPr>
        <w:tc>
          <w:tcPr>
            <w:tcW w:w="708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双手缺失（或丧失功能）大于等于</w:t>
            </w:r>
            <w:r>
              <w:rPr>
                <w:rFonts w:cs="宋体"/>
                <w:sz w:val="21"/>
                <w:szCs w:val="21"/>
                <w:lang w:val="en-US" w:eastAsia="zh-CN"/>
              </w:rPr>
              <w:t>30%</w:t>
            </w:r>
          </w:p>
        </w:tc>
        <w:tc>
          <w:tcPr>
            <w:tcW w:w="1213"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708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双手缺失（或丧失功能）大于等于</w:t>
            </w:r>
            <w:r>
              <w:rPr>
                <w:rFonts w:cs="宋体"/>
                <w:sz w:val="21"/>
                <w:szCs w:val="21"/>
                <w:lang w:val="en-US" w:eastAsia="zh-CN"/>
              </w:rPr>
              <w:t>10%</w:t>
            </w:r>
          </w:p>
        </w:tc>
        <w:tc>
          <w:tcPr>
            <w:tcW w:w="1213"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 w:hRule="atLeast"/>
        </w:trPr>
        <w:tc>
          <w:tcPr>
            <w:tcW w:w="708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双上肢长度相差大于等于</w:t>
            </w:r>
            <w:r>
              <w:rPr>
                <w:rFonts w:cs="宋体"/>
                <w:sz w:val="21"/>
                <w:szCs w:val="21"/>
                <w:lang w:val="en-US" w:eastAsia="zh-CN"/>
              </w:rPr>
              <w:t>10cm</w:t>
            </w:r>
          </w:p>
        </w:tc>
        <w:tc>
          <w:tcPr>
            <w:tcW w:w="1213"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9</w:t>
            </w:r>
            <w:r>
              <w:rPr>
                <w:rFonts w:hint="eastAsia" w:cs="宋体"/>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 w:hRule="atLeast"/>
        </w:trPr>
        <w:tc>
          <w:tcPr>
            <w:tcW w:w="7088" w:type="dxa"/>
            <w:shd w:val="clear" w:color="auto" w:fill="auto"/>
            <w:vAlign w:val="center"/>
          </w:tcPr>
          <w:p>
            <w:pPr>
              <w:pStyle w:val="46"/>
              <w:rPr>
                <w:rFonts w:cs="宋体"/>
                <w:sz w:val="21"/>
                <w:szCs w:val="21"/>
                <w:lang w:val="en-US" w:eastAsia="zh-CN"/>
              </w:rPr>
            </w:pPr>
            <w:r>
              <w:rPr>
                <w:rFonts w:hint="eastAsia" w:cs="宋体"/>
                <w:sz w:val="21"/>
                <w:szCs w:val="21"/>
                <w:lang w:val="en-US" w:eastAsia="zh-CN"/>
              </w:rPr>
              <w:t>双上肢长度相差大于等于</w:t>
            </w:r>
            <w:r>
              <w:rPr>
                <w:rFonts w:cs="宋体"/>
                <w:sz w:val="21"/>
                <w:szCs w:val="21"/>
                <w:lang w:val="en-US" w:eastAsia="zh-CN"/>
              </w:rPr>
              <w:t>4cm</w:t>
            </w:r>
          </w:p>
        </w:tc>
        <w:tc>
          <w:tcPr>
            <w:tcW w:w="1213"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 w:hRule="atLeast"/>
        </w:trPr>
        <w:tc>
          <w:tcPr>
            <w:tcW w:w="7088" w:type="dxa"/>
            <w:shd w:val="clear" w:color="auto" w:fill="auto"/>
          </w:tcPr>
          <w:p>
            <w:pPr>
              <w:pStyle w:val="46"/>
              <w:rPr>
                <w:rFonts w:cs="宋体"/>
                <w:sz w:val="21"/>
                <w:szCs w:val="21"/>
                <w:lang w:val="en-US" w:eastAsia="zh-CN"/>
              </w:rPr>
            </w:pPr>
            <w:r>
              <w:rPr>
                <w:rFonts w:hint="eastAsia" w:cs="宋体"/>
                <w:sz w:val="21"/>
                <w:szCs w:val="21"/>
                <w:lang w:val="en-US" w:eastAsia="zh-CN"/>
              </w:rPr>
              <w:t>一上肢三大关节中，因骨折累及关节面导致一个关节功能部分丧失</w:t>
            </w:r>
          </w:p>
        </w:tc>
        <w:tc>
          <w:tcPr>
            <w:tcW w:w="1213"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10级</w:t>
            </w:r>
          </w:p>
        </w:tc>
      </w:tr>
    </w:tbl>
    <w:p>
      <w:pPr>
        <w:pStyle w:val="44"/>
        <w:rPr>
          <w:rFonts w:ascii="宋体" w:hAnsi="宋体" w:eastAsia="宋体"/>
          <w:sz w:val="21"/>
          <w:szCs w:val="21"/>
        </w:rPr>
      </w:pPr>
      <w:r>
        <w:rPr>
          <w:rFonts w:hint="eastAsia" w:ascii="宋体" w:hAnsi="宋体" w:eastAsia="宋体"/>
          <w:sz w:val="21"/>
          <w:szCs w:val="21"/>
        </w:rPr>
        <w:t>注：手缺失和丧失功能的计算：</w:t>
      </w:r>
      <w:bookmarkStart w:id="54" w:name="OLE_LINK28"/>
      <w:bookmarkStart w:id="55" w:name="OLE_LINK29"/>
      <w:r>
        <w:rPr>
          <w:rFonts w:hint="eastAsia" w:ascii="宋体" w:hAnsi="宋体" w:eastAsia="宋体"/>
          <w:sz w:val="21"/>
          <w:szCs w:val="21"/>
        </w:rPr>
        <w:t>一手拇指占一手功能的</w:t>
      </w:r>
      <w:r>
        <w:rPr>
          <w:rFonts w:ascii="宋体" w:hAnsi="宋体" w:eastAsia="宋体"/>
          <w:sz w:val="21"/>
          <w:szCs w:val="21"/>
        </w:rPr>
        <w:t>36%，其中末节和近节指节各占18%；食指、中指各占一手功能的18%，其中末节</w:t>
      </w:r>
      <w:r>
        <w:rPr>
          <w:rFonts w:hint="eastAsia" w:ascii="宋体" w:hAnsi="宋体" w:eastAsia="宋体"/>
          <w:sz w:val="21"/>
          <w:szCs w:val="21"/>
        </w:rPr>
        <w:t>指节占</w:t>
      </w:r>
      <w:r>
        <w:rPr>
          <w:rFonts w:ascii="宋体" w:hAnsi="宋体" w:eastAsia="宋体"/>
          <w:sz w:val="21"/>
          <w:szCs w:val="21"/>
        </w:rPr>
        <w:t>8%，中节</w:t>
      </w:r>
      <w:r>
        <w:rPr>
          <w:rFonts w:hint="eastAsia" w:ascii="宋体" w:hAnsi="宋体" w:eastAsia="宋体"/>
          <w:sz w:val="21"/>
          <w:szCs w:val="21"/>
        </w:rPr>
        <w:t>指节占</w:t>
      </w:r>
      <w:r>
        <w:rPr>
          <w:rFonts w:ascii="宋体" w:hAnsi="宋体" w:eastAsia="宋体"/>
          <w:sz w:val="21"/>
          <w:szCs w:val="21"/>
        </w:rPr>
        <w:t>7%，近节</w:t>
      </w:r>
      <w:r>
        <w:rPr>
          <w:rFonts w:hint="eastAsia" w:ascii="宋体" w:hAnsi="宋体" w:eastAsia="宋体"/>
          <w:sz w:val="21"/>
          <w:szCs w:val="21"/>
        </w:rPr>
        <w:t>指节占</w:t>
      </w:r>
      <w:r>
        <w:rPr>
          <w:rFonts w:ascii="宋体" w:hAnsi="宋体" w:eastAsia="宋体"/>
          <w:sz w:val="21"/>
          <w:szCs w:val="21"/>
        </w:rPr>
        <w:t>3%；无名指和小指各占一手功能的9%，其中末节</w:t>
      </w:r>
      <w:r>
        <w:rPr>
          <w:rFonts w:hint="eastAsia" w:ascii="宋体" w:hAnsi="宋体" w:eastAsia="宋体"/>
          <w:sz w:val="21"/>
          <w:szCs w:val="21"/>
        </w:rPr>
        <w:t>指节占</w:t>
      </w:r>
      <w:r>
        <w:rPr>
          <w:rFonts w:ascii="宋体" w:hAnsi="宋体" w:eastAsia="宋体"/>
          <w:sz w:val="21"/>
          <w:szCs w:val="21"/>
        </w:rPr>
        <w:t>4%，中节</w:t>
      </w:r>
      <w:r>
        <w:rPr>
          <w:rFonts w:hint="eastAsia" w:ascii="宋体" w:hAnsi="宋体" w:eastAsia="宋体"/>
          <w:sz w:val="21"/>
          <w:szCs w:val="21"/>
        </w:rPr>
        <w:t>指节占</w:t>
      </w:r>
      <w:r>
        <w:rPr>
          <w:rFonts w:ascii="宋体" w:hAnsi="宋体" w:eastAsia="宋体"/>
          <w:sz w:val="21"/>
          <w:szCs w:val="21"/>
        </w:rPr>
        <w:t>3%，近节</w:t>
      </w:r>
      <w:r>
        <w:rPr>
          <w:rFonts w:hint="eastAsia" w:ascii="宋体" w:hAnsi="宋体" w:eastAsia="宋体"/>
          <w:sz w:val="21"/>
          <w:szCs w:val="21"/>
        </w:rPr>
        <w:t>指节占</w:t>
      </w:r>
      <w:r>
        <w:rPr>
          <w:rFonts w:ascii="宋体" w:hAnsi="宋体" w:eastAsia="宋体"/>
          <w:sz w:val="21"/>
          <w:szCs w:val="21"/>
        </w:rPr>
        <w:t>2%。</w:t>
      </w:r>
      <w:r>
        <w:rPr>
          <w:rFonts w:hint="eastAsia" w:ascii="宋体" w:hAnsi="宋体" w:eastAsia="宋体"/>
          <w:sz w:val="21"/>
          <w:szCs w:val="21"/>
        </w:rPr>
        <w:t>一手掌占一手功能的</w:t>
      </w:r>
      <w:r>
        <w:rPr>
          <w:rFonts w:ascii="宋体" w:hAnsi="宋体" w:eastAsia="宋体"/>
          <w:sz w:val="21"/>
          <w:szCs w:val="21"/>
        </w:rPr>
        <w:t>10%，其中第一掌骨占4%，第二、第三掌骨各占2%，第四、第五掌骨各占1%。本标准中，双手缺失或丧失功能的程度是按前面方</w:t>
      </w:r>
      <w:r>
        <w:rPr>
          <w:rFonts w:hint="eastAsia" w:ascii="宋体" w:hAnsi="宋体" w:eastAsia="宋体"/>
          <w:sz w:val="21"/>
          <w:szCs w:val="21"/>
        </w:rPr>
        <w:t>式</w:t>
      </w:r>
      <w:r>
        <w:rPr>
          <w:rFonts w:ascii="宋体" w:hAnsi="宋体" w:eastAsia="宋体"/>
          <w:sz w:val="21"/>
          <w:szCs w:val="21"/>
        </w:rPr>
        <w:t>累加计算的结果。</w:t>
      </w:r>
      <w:bookmarkEnd w:id="54"/>
      <w:bookmarkEnd w:id="55"/>
    </w:p>
    <w:p>
      <w:pPr>
        <w:ind w:firstLine="420"/>
        <w:contextualSpacing/>
        <w:rPr>
          <w:rFonts w:ascii="宋体" w:hAnsi="宋体"/>
          <w:szCs w:val="21"/>
        </w:rPr>
      </w:pPr>
    </w:p>
    <w:p>
      <w:pPr>
        <w:pStyle w:val="4"/>
        <w:numPr>
          <w:ilvl w:val="1"/>
          <w:numId w:val="1"/>
        </w:numPr>
        <w:ind w:left="0" w:firstLine="0"/>
        <w:contextualSpacing/>
        <w:rPr>
          <w:sz w:val="21"/>
          <w:szCs w:val="21"/>
        </w:rPr>
      </w:pPr>
      <w:bookmarkStart w:id="56" w:name="_Toc356463496"/>
      <w:r>
        <w:rPr>
          <w:rFonts w:hint="eastAsia"/>
          <w:sz w:val="21"/>
          <w:szCs w:val="21"/>
        </w:rPr>
        <w:t>骨盆部的结构损伤</w:t>
      </w:r>
      <w:bookmarkEnd w:id="56"/>
    </w:p>
    <w:p>
      <w:pPr>
        <w:ind w:firstLine="420"/>
        <w:contextualSpacing/>
        <w:rPr>
          <w:rFonts w:ascii="宋体" w:hAnsi="宋体"/>
          <w:szCs w:val="21"/>
        </w:rPr>
      </w:pPr>
    </w:p>
    <w:tbl>
      <w:tblPr>
        <w:tblStyle w:val="18"/>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骨盆环骨折，且两下肢相对长度相差大于等于</w:t>
            </w:r>
            <w:r>
              <w:rPr>
                <w:rFonts w:cs="宋体"/>
                <w:sz w:val="21"/>
                <w:szCs w:val="21"/>
                <w:lang w:val="en-US" w:eastAsia="zh-CN"/>
              </w:rPr>
              <w:t>8cm</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髋臼骨折，且两下肢相对长度相差大于等于</w:t>
            </w:r>
            <w:r>
              <w:rPr>
                <w:rFonts w:cs="宋体"/>
                <w:sz w:val="21"/>
                <w:szCs w:val="21"/>
                <w:lang w:val="en-US" w:eastAsia="zh-CN"/>
              </w:rPr>
              <w:t>8cm</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骨盆环骨折，且两下肢相对长度相差大于等于</w:t>
            </w:r>
            <w:r>
              <w:rPr>
                <w:rFonts w:cs="宋体"/>
                <w:sz w:val="21"/>
                <w:szCs w:val="21"/>
                <w:lang w:val="en-US" w:eastAsia="zh-CN"/>
              </w:rPr>
              <w:t>6cm</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髋臼骨折，且两下肢相对长度相差大于等于</w:t>
            </w:r>
            <w:r>
              <w:rPr>
                <w:rFonts w:cs="宋体"/>
                <w:sz w:val="21"/>
                <w:szCs w:val="21"/>
                <w:lang w:val="en-US" w:eastAsia="zh-CN"/>
              </w:rPr>
              <w:t>6cm</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骨盆环骨折，且两下肢相对长度相差大于等于</w:t>
            </w:r>
            <w:r>
              <w:rPr>
                <w:rFonts w:cs="宋体"/>
                <w:sz w:val="21"/>
                <w:szCs w:val="21"/>
                <w:lang w:val="en-US" w:eastAsia="zh-CN"/>
              </w:rPr>
              <w:t>4cm</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髋臼骨折，且两下肢相对长度相差大于等于</w:t>
            </w:r>
            <w:r>
              <w:rPr>
                <w:rFonts w:cs="宋体"/>
                <w:sz w:val="21"/>
                <w:szCs w:val="21"/>
                <w:lang w:val="en-US" w:eastAsia="zh-CN"/>
              </w:rPr>
              <w:t>4cm</w:t>
            </w:r>
          </w:p>
        </w:tc>
        <w:tc>
          <w:tcPr>
            <w:tcW w:w="1071" w:type="dxa"/>
            <w:shd w:val="clear" w:color="auto" w:fill="auto"/>
          </w:tcPr>
          <w:p>
            <w:pPr>
              <w:pStyle w:val="46"/>
              <w:jc w:val="center"/>
              <w:rPr>
                <w:rFonts w:cs="宋体"/>
                <w:sz w:val="21"/>
                <w:szCs w:val="21"/>
                <w:lang w:val="en-US" w:eastAsia="zh-CN"/>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骨盆环骨折，且两下肢相对长度相差大于等于</w:t>
            </w:r>
            <w:r>
              <w:rPr>
                <w:rFonts w:cs="宋体"/>
                <w:sz w:val="21"/>
                <w:szCs w:val="21"/>
                <w:lang w:val="en-US" w:eastAsia="zh-CN"/>
              </w:rPr>
              <w:t>2cm</w:t>
            </w:r>
          </w:p>
        </w:tc>
        <w:tc>
          <w:tcPr>
            <w:tcW w:w="1071" w:type="dxa"/>
            <w:shd w:val="clear" w:color="auto" w:fill="auto"/>
          </w:tcPr>
          <w:p>
            <w:pPr>
              <w:pStyle w:val="46"/>
              <w:jc w:val="center"/>
              <w:rPr>
                <w:rFonts w:cs="宋体"/>
                <w:sz w:val="21"/>
                <w:szCs w:val="21"/>
                <w:lang w:val="en-US" w:eastAsia="zh-CN"/>
              </w:rPr>
            </w:pPr>
            <w:r>
              <w:rPr>
                <w:rFonts w:cs="宋体"/>
                <w:sz w:val="21"/>
                <w:szCs w:val="21"/>
                <w:lang w:val="en-US" w:eastAsia="zh-CN"/>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atLeast"/>
        </w:trPr>
        <w:tc>
          <w:tcPr>
            <w:tcW w:w="7230" w:type="dxa"/>
            <w:tcBorders>
              <w:bottom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髋臼骨折，且两下肢相对长度相差大于等于</w:t>
            </w:r>
            <w:r>
              <w:rPr>
                <w:rFonts w:cs="宋体"/>
                <w:sz w:val="21"/>
                <w:szCs w:val="21"/>
                <w:lang w:val="en-US" w:eastAsia="zh-CN"/>
              </w:rPr>
              <w:t>2cm</w:t>
            </w:r>
          </w:p>
        </w:tc>
        <w:tc>
          <w:tcPr>
            <w:tcW w:w="1071" w:type="dxa"/>
            <w:tcBorders>
              <w:bottom w:val="single" w:color="auto" w:sz="4" w:space="0"/>
            </w:tcBorders>
            <w:shd w:val="clear" w:color="auto" w:fill="auto"/>
          </w:tcPr>
          <w:p>
            <w:pPr>
              <w:pStyle w:val="46"/>
              <w:jc w:val="center"/>
              <w:rPr>
                <w:rFonts w:cs="宋体"/>
                <w:sz w:val="21"/>
                <w:szCs w:val="21"/>
                <w:lang w:val="en-US" w:eastAsia="zh-CN"/>
              </w:rPr>
            </w:pPr>
            <w:r>
              <w:rPr>
                <w:rFonts w:cs="宋体"/>
                <w:sz w:val="21"/>
                <w:szCs w:val="21"/>
                <w:lang w:val="en-US" w:eastAsia="zh-CN"/>
              </w:rPr>
              <w:t>10级</w:t>
            </w:r>
          </w:p>
        </w:tc>
      </w:tr>
    </w:tbl>
    <w:p>
      <w:pPr>
        <w:ind w:firstLine="420"/>
        <w:contextualSpacing/>
        <w:rPr>
          <w:rFonts w:ascii="宋体" w:hAnsi="宋体"/>
          <w:szCs w:val="21"/>
        </w:rPr>
      </w:pPr>
    </w:p>
    <w:p>
      <w:pPr>
        <w:pStyle w:val="4"/>
        <w:numPr>
          <w:ilvl w:val="1"/>
          <w:numId w:val="1"/>
        </w:numPr>
        <w:ind w:left="0" w:firstLine="0"/>
        <w:contextualSpacing/>
        <w:rPr>
          <w:sz w:val="21"/>
          <w:szCs w:val="21"/>
        </w:rPr>
      </w:pPr>
      <w:bookmarkStart w:id="57" w:name="_Toc356463497"/>
      <w:r>
        <w:rPr>
          <w:rFonts w:hint="eastAsia"/>
          <w:sz w:val="21"/>
          <w:szCs w:val="21"/>
        </w:rPr>
        <w:t>下肢的结构损伤，足功能或关节功能障碍</w:t>
      </w:r>
      <w:bookmarkEnd w:id="57"/>
    </w:p>
    <w:p>
      <w:pPr>
        <w:ind w:firstLine="420"/>
        <w:contextualSpacing/>
        <w:rPr>
          <w:rFonts w:ascii="宋体" w:hAnsi="宋体"/>
          <w:szCs w:val="21"/>
        </w:rPr>
      </w:pPr>
    </w:p>
    <w:tbl>
      <w:tblPr>
        <w:tblStyle w:val="18"/>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双足跗跖关节以上缺失</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双下肢长度相差大于等于</w:t>
            </w:r>
            <w:r>
              <w:rPr>
                <w:rFonts w:cs="宋体"/>
                <w:sz w:val="21"/>
                <w:szCs w:val="21"/>
                <w:lang w:val="en-US" w:eastAsia="zh-CN"/>
              </w:rPr>
              <w:t>8cm</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一下肢三大关节中，有两个关节完全丧失功能</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双足足弓结构完全破坏</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一足跗跖关节以上缺失</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双下肢长度相差大于等于</w:t>
            </w:r>
            <w:r>
              <w:rPr>
                <w:rFonts w:cs="宋体"/>
                <w:sz w:val="21"/>
                <w:szCs w:val="21"/>
                <w:lang w:val="en-US" w:eastAsia="zh-CN"/>
              </w:rPr>
              <w:t>6cm</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一足足弓结构完全破坏，另一足足弓结构破坏大于等于</w:t>
            </w:r>
            <w:r>
              <w:rPr>
                <w:rFonts w:cs="宋体"/>
                <w:sz w:val="21"/>
                <w:szCs w:val="21"/>
                <w:lang w:val="en-US" w:eastAsia="zh-CN"/>
              </w:rPr>
              <w:t>1/3</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双足十趾完全缺失</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一下肢三大关节中，有一个关节完全丧失功能</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双足十趾完全丧失功能</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双下肢长度相差大于等于</w:t>
            </w:r>
            <w:r>
              <w:rPr>
                <w:rFonts w:cs="宋体"/>
                <w:sz w:val="21"/>
                <w:szCs w:val="21"/>
                <w:lang w:val="en-US" w:eastAsia="zh-CN"/>
              </w:rPr>
              <w:t>4cm</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一足足弓结构完全破坏</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双足十趾中，大于等于五趾缺失</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一足五趾完全丧失功能</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一足足弓结构破坏大于等于</w:t>
            </w:r>
            <w:r>
              <w:rPr>
                <w:rFonts w:cs="宋体"/>
                <w:sz w:val="21"/>
                <w:szCs w:val="21"/>
                <w:lang w:val="en-US" w:eastAsia="zh-CN"/>
              </w:rPr>
              <w:t>1/3</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双足十趾中，大于等于两趾缺失</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双下肢长度相差大于等于</w:t>
            </w:r>
            <w:r>
              <w:rPr>
                <w:rFonts w:cs="宋体"/>
                <w:sz w:val="21"/>
                <w:szCs w:val="21"/>
                <w:lang w:val="en-US" w:eastAsia="zh-CN"/>
              </w:rPr>
              <w:t>2cm</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一下肢三大关节中，因骨折累及关节面导致一个关节功能部分丧失</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10级</w:t>
            </w:r>
          </w:p>
        </w:tc>
      </w:tr>
    </w:tbl>
    <w:p>
      <w:pPr>
        <w:pStyle w:val="44"/>
        <w:rPr>
          <w:rFonts w:ascii="宋体" w:hAnsi="宋体" w:eastAsia="宋体"/>
          <w:sz w:val="21"/>
          <w:szCs w:val="21"/>
        </w:rPr>
      </w:pPr>
      <w:r>
        <w:rPr>
          <w:rFonts w:hint="eastAsia" w:ascii="宋体" w:hAnsi="宋体" w:eastAsia="宋体"/>
          <w:sz w:val="21"/>
          <w:szCs w:val="21"/>
        </w:rPr>
        <w:t xml:space="preserve">注： </w:t>
      </w: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足弓结构破坏：指意外损伤导致的足弓缺失或丧失功能。</w:t>
      </w:r>
    </w:p>
    <w:p>
      <w:pPr>
        <w:pStyle w:val="44"/>
        <w:ind w:firstLine="567"/>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足弓结构完全破坏指足的内、外侧纵弓和横弓结构完全破坏，包括缺失和丧失功能；足弓</w:t>
      </w:r>
      <w:r>
        <w:rPr>
          <w:rFonts w:ascii="宋体" w:hAnsi="宋体" w:eastAsia="宋体"/>
          <w:sz w:val="21"/>
          <w:szCs w:val="21"/>
        </w:rPr>
        <w:t>1/3结构破坏指足三弓的任一弓的结构破坏。</w:t>
      </w:r>
    </w:p>
    <w:p>
      <w:pPr>
        <w:pStyle w:val="44"/>
        <w:ind w:firstLine="567"/>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足趾缺失：指自趾关节以上完全切断。</w:t>
      </w:r>
    </w:p>
    <w:p>
      <w:pPr>
        <w:ind w:firstLine="420"/>
        <w:contextualSpacing/>
        <w:rPr>
          <w:rFonts w:ascii="宋体" w:hAnsi="宋体"/>
          <w:szCs w:val="21"/>
        </w:rPr>
      </w:pPr>
    </w:p>
    <w:p>
      <w:pPr>
        <w:pStyle w:val="4"/>
        <w:numPr>
          <w:ilvl w:val="1"/>
          <w:numId w:val="1"/>
        </w:numPr>
        <w:ind w:left="0" w:firstLine="0"/>
        <w:contextualSpacing/>
        <w:rPr>
          <w:sz w:val="21"/>
          <w:szCs w:val="21"/>
        </w:rPr>
      </w:pPr>
      <w:bookmarkStart w:id="58" w:name="_Toc356463498"/>
      <w:r>
        <w:rPr>
          <w:rFonts w:hint="eastAsia"/>
          <w:sz w:val="21"/>
          <w:szCs w:val="21"/>
        </w:rPr>
        <w:t>四肢的结构损伤，肢体功能或关节功能障碍</w:t>
      </w:r>
      <w:bookmarkEnd w:id="58"/>
    </w:p>
    <w:p>
      <w:pPr>
        <w:ind w:firstLine="420"/>
        <w:contextualSpacing/>
        <w:rPr>
          <w:rFonts w:ascii="宋体" w:hAnsi="宋体"/>
          <w:szCs w:val="21"/>
        </w:rPr>
      </w:pPr>
    </w:p>
    <w:tbl>
      <w:tblPr>
        <w:tblStyle w:val="18"/>
        <w:tblW w:w="831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三肢以上缺失</w:t>
            </w:r>
            <w:r>
              <w:rPr>
                <w:rFonts w:cs="宋体"/>
                <w:sz w:val="21"/>
                <w:szCs w:val="21"/>
                <w:lang w:val="en-US" w:eastAsia="zh-CN"/>
              </w:rPr>
              <w:t>(上肢在腕关节以上,下肢在踝关节以上)</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三肢以上完全丧失功能</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二肢缺失（上肢在腕关节以上，下肢在踝关节以上），且第三肢完全丧失功能</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一肢缺失（上肢在腕关节以上，下肢在踝关节以上），且另二肢完全丧失功能</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二肢缺失</w:t>
            </w:r>
            <w:r>
              <w:rPr>
                <w:rFonts w:cs="宋体"/>
                <w:sz w:val="21"/>
                <w:szCs w:val="21"/>
                <w:lang w:val="en-US" w:eastAsia="zh-CN"/>
              </w:rPr>
              <w:t>(上肢在肘关节以上，下肢在膝关节以上)</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一肢缺失（上肢在肘关节以上，下肢在膝关节以上），且另一肢完全丧失功能</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二肢完全丧失功能</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一肢缺失（上肢在腕关节以上，下肢在踝关节以上），且另一肢完全丧失功能</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二肢缺失</w:t>
            </w:r>
            <w:r>
              <w:rPr>
                <w:rFonts w:cs="宋体"/>
                <w:sz w:val="21"/>
                <w:szCs w:val="21"/>
                <w:lang w:val="en-US" w:eastAsia="zh-CN"/>
              </w:rPr>
              <w:t>(上肢在腕关节以上，下肢在踝关节以上)</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两上肢、或两下肢、或一上肢及一下肢，各有三大关节中的两个关节完全丧失功能</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一肢缺失</w:t>
            </w:r>
            <w:r>
              <w:rPr>
                <w:rFonts w:cs="宋体"/>
                <w:sz w:val="21"/>
                <w:szCs w:val="21"/>
                <w:lang w:val="en-US" w:eastAsia="zh-CN"/>
              </w:rPr>
              <w:t>(上肢在肘关节以上，下肢在膝关节以上)</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一肢完全丧失功能</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一肢缺失</w:t>
            </w:r>
            <w:r>
              <w:rPr>
                <w:rFonts w:cs="宋体"/>
                <w:sz w:val="21"/>
                <w:szCs w:val="21"/>
                <w:lang w:val="en-US" w:eastAsia="zh-CN"/>
              </w:rPr>
              <w:t>(上肢在腕关节以上，下肢在踝关节以上)</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shd w:val="clear" w:color="auto" w:fill="auto"/>
          </w:tcPr>
          <w:p>
            <w:pPr>
              <w:pStyle w:val="46"/>
              <w:rPr>
                <w:rFonts w:cs="宋体"/>
                <w:sz w:val="21"/>
                <w:szCs w:val="21"/>
                <w:lang w:val="en-US" w:eastAsia="zh-CN"/>
              </w:rPr>
            </w:pPr>
            <w:r>
              <w:rPr>
                <w:rFonts w:hint="eastAsia" w:cs="宋体"/>
                <w:sz w:val="21"/>
                <w:szCs w:val="21"/>
                <w:lang w:val="en-US" w:eastAsia="zh-CN"/>
              </w:rPr>
              <w:t>四肢长骨一骺板以上粉碎性骨折</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9级</w:t>
            </w:r>
          </w:p>
        </w:tc>
      </w:tr>
    </w:tbl>
    <w:p>
      <w:pPr>
        <w:pStyle w:val="44"/>
        <w:rPr>
          <w:rFonts w:ascii="宋体" w:hAnsi="宋体" w:eastAsia="宋体"/>
          <w:sz w:val="21"/>
          <w:szCs w:val="21"/>
        </w:rPr>
      </w:pPr>
      <w:r>
        <w:rPr>
          <w:rFonts w:hint="eastAsia" w:ascii="宋体" w:hAnsi="宋体" w:eastAsia="宋体"/>
          <w:sz w:val="21"/>
          <w:szCs w:val="21"/>
        </w:rPr>
        <w:t>注：</w:t>
      </w:r>
      <w:r>
        <w:rPr>
          <w:rFonts w:ascii="宋体" w:hAnsi="宋体" w:eastAsia="宋体"/>
          <w:color w:val="000000"/>
          <w:sz w:val="21"/>
          <w:szCs w:val="21"/>
        </w:rPr>
        <w:fldChar w:fldCharType="begin"/>
      </w:r>
      <w:r>
        <w:rPr>
          <w:rFonts w:ascii="宋体" w:hAnsi="宋体" w:eastAsia="宋体"/>
          <w:color w:val="000000"/>
          <w:sz w:val="21"/>
          <w:szCs w:val="21"/>
        </w:rPr>
        <w:instrText xml:space="preserve"> = 1 \* GB3 </w:instrText>
      </w:r>
      <w:r>
        <w:rPr>
          <w:rFonts w:ascii="宋体" w:hAnsi="宋体" w:eastAsia="宋体"/>
          <w:color w:val="000000"/>
          <w:sz w:val="21"/>
          <w:szCs w:val="21"/>
        </w:rPr>
        <w:fldChar w:fldCharType="separate"/>
      </w:r>
      <w:r>
        <w:rPr>
          <w:rFonts w:hint="eastAsia" w:ascii="宋体" w:hAnsi="宋体" w:eastAsia="宋体"/>
          <w:color w:val="000000"/>
          <w:sz w:val="21"/>
          <w:szCs w:val="21"/>
        </w:rPr>
        <w:t>①</w:t>
      </w:r>
      <w:r>
        <w:rPr>
          <w:rFonts w:ascii="宋体" w:hAnsi="宋体" w:eastAsia="宋体"/>
          <w:color w:val="000000"/>
          <w:sz w:val="21"/>
          <w:szCs w:val="21"/>
        </w:rPr>
        <w:fldChar w:fldCharType="end"/>
      </w:r>
      <w:r>
        <w:rPr>
          <w:rFonts w:ascii="宋体" w:hAnsi="宋体" w:eastAsia="宋体"/>
          <w:color w:val="000000"/>
          <w:sz w:val="21"/>
          <w:szCs w:val="21"/>
        </w:rPr>
        <w:t xml:space="preserve"> </w:t>
      </w:r>
      <w:r>
        <w:rPr>
          <w:rFonts w:hint="eastAsia" w:ascii="宋体" w:hAnsi="宋体" w:eastAsia="宋体"/>
          <w:color w:val="000000"/>
          <w:sz w:val="21"/>
          <w:szCs w:val="21"/>
        </w:rPr>
        <w:t>骺板</w:t>
      </w:r>
      <w:r>
        <w:rPr>
          <w:rFonts w:hint="eastAsia" w:ascii="宋体" w:hAnsi="宋体" w:eastAsia="宋体"/>
          <w:sz w:val="21"/>
          <w:szCs w:val="21"/>
        </w:rPr>
        <w:t>：骺板的定义只适用于儿童，四肢长骨骺板骨折可能影响肢体发育，如果存在肢体发育障碍的，应当另行评定伤残等级。</w:t>
      </w:r>
    </w:p>
    <w:p>
      <w:pPr>
        <w:pStyle w:val="44"/>
        <w:ind w:firstLine="525"/>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肢体丧失功能指意外损伤导致肢体三大关节（上肢腕关节、肘关节、肩关节或下肢踝关节、膝关节、髋关节）功能的丧失。</w:t>
      </w:r>
    </w:p>
    <w:p>
      <w:pPr>
        <w:pStyle w:val="44"/>
        <w:ind w:firstLine="525"/>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ascii="宋体" w:hAnsi="宋体" w:eastAsia="宋体"/>
          <w:sz w:val="21"/>
          <w:szCs w:val="21"/>
        </w:rPr>
        <w:t xml:space="preserve"> 关节功能的</w:t>
      </w:r>
      <w:r>
        <w:rPr>
          <w:rFonts w:hint="eastAsia" w:ascii="宋体" w:hAnsi="宋体" w:eastAsia="宋体"/>
          <w:sz w:val="21"/>
          <w:szCs w:val="21"/>
        </w:rPr>
        <w:t>丧失指关节永久完全僵硬、或麻痹、或关节不能随意识活动。</w:t>
      </w:r>
    </w:p>
    <w:p>
      <w:pPr>
        <w:ind w:firstLine="420"/>
        <w:contextualSpacing/>
        <w:rPr>
          <w:rFonts w:ascii="宋体" w:hAnsi="宋体"/>
          <w:szCs w:val="21"/>
        </w:rPr>
      </w:pPr>
    </w:p>
    <w:p>
      <w:pPr>
        <w:pStyle w:val="4"/>
        <w:numPr>
          <w:ilvl w:val="1"/>
          <w:numId w:val="1"/>
        </w:numPr>
        <w:ind w:left="0" w:firstLine="0"/>
        <w:contextualSpacing/>
        <w:rPr>
          <w:sz w:val="21"/>
          <w:szCs w:val="21"/>
        </w:rPr>
      </w:pPr>
      <w:bookmarkStart w:id="59" w:name="_Toc356463499"/>
      <w:r>
        <w:rPr>
          <w:rFonts w:hint="eastAsia"/>
          <w:sz w:val="21"/>
          <w:szCs w:val="21"/>
        </w:rPr>
        <w:t>脊柱结构损伤和关节活动功能障碍</w:t>
      </w:r>
      <w:bookmarkEnd w:id="59"/>
    </w:p>
    <w:p>
      <w:pPr>
        <w:ind w:firstLine="420"/>
        <w:contextualSpacing/>
        <w:rPr>
          <w:rFonts w:ascii="宋体" w:hAnsi="宋体"/>
          <w:szCs w:val="21"/>
        </w:rPr>
      </w:pPr>
      <w:r>
        <w:rPr>
          <w:rFonts w:hint="eastAsia" w:ascii="宋体" w:hAnsi="宋体"/>
          <w:szCs w:val="21"/>
        </w:rPr>
        <w:t>本标准中的脊柱结构损伤是指</w:t>
      </w:r>
      <w:r>
        <w:rPr>
          <w:rFonts w:hint="eastAsia" w:ascii="宋体" w:hAnsi="宋体" w:cs="Arial"/>
          <w:szCs w:val="21"/>
        </w:rPr>
        <w:t>颈椎或腰椎的骨折脱位</w:t>
      </w:r>
      <w:r>
        <w:rPr>
          <w:rFonts w:hint="eastAsia" w:ascii="宋体" w:hAnsi="宋体"/>
          <w:szCs w:val="21"/>
        </w:rPr>
        <w:t>，本标准中的关节活动功能障碍是指颈部或腰部活动度丧失。</w:t>
      </w:r>
    </w:p>
    <w:tbl>
      <w:tblPr>
        <w:tblStyle w:val="18"/>
        <w:tblW w:w="8288" w:type="dxa"/>
        <w:tblInd w:w="93" w:type="dxa"/>
        <w:tblLayout w:type="autofit"/>
        <w:tblCellMar>
          <w:top w:w="0" w:type="dxa"/>
          <w:left w:w="108" w:type="dxa"/>
          <w:bottom w:w="0" w:type="dxa"/>
          <w:right w:w="108" w:type="dxa"/>
        </w:tblCellMar>
      </w:tblPr>
      <w:tblGrid>
        <w:gridCol w:w="7245"/>
        <w:gridCol w:w="1043"/>
      </w:tblGrid>
      <w:tr>
        <w:tblPrEx>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6"/>
              <w:rPr>
                <w:rFonts w:cs="宋体"/>
                <w:sz w:val="21"/>
                <w:szCs w:val="21"/>
                <w:lang w:val="en-US" w:eastAsia="zh-CN"/>
              </w:rPr>
            </w:pPr>
            <w:r>
              <w:rPr>
                <w:rFonts w:hint="eastAsia" w:cs="宋体"/>
                <w:sz w:val="21"/>
                <w:szCs w:val="21"/>
                <w:lang w:val="en-US" w:eastAsia="zh-CN"/>
              </w:rPr>
              <w:t>脊柱骨折脱位导致颈椎或腰椎畸形愈合，且颈部或腰部活动度丧失大于等于</w:t>
            </w:r>
            <w:r>
              <w:rPr>
                <w:rFonts w:cs="宋体"/>
                <w:sz w:val="21"/>
                <w:szCs w:val="21"/>
                <w:lang w:val="en-US" w:eastAsia="zh-CN"/>
              </w:rPr>
              <w:t>75%</w:t>
            </w:r>
          </w:p>
        </w:tc>
        <w:tc>
          <w:tcPr>
            <w:tcW w:w="1043" w:type="dxa"/>
            <w:tcBorders>
              <w:top w:val="single" w:color="auto" w:sz="4" w:space="0"/>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7级</w:t>
            </w:r>
          </w:p>
        </w:tc>
      </w:tr>
      <w:tr>
        <w:tblPrEx>
          <w:tblCellMar>
            <w:top w:w="0" w:type="dxa"/>
            <w:left w:w="108" w:type="dxa"/>
            <w:bottom w:w="0" w:type="dxa"/>
            <w:right w:w="108" w:type="dxa"/>
          </w:tblCellMar>
        </w:tblPrEx>
        <w:trPr>
          <w:trHeight w:val="215" w:hRule="atLeast"/>
        </w:trPr>
        <w:tc>
          <w:tcPr>
            <w:tcW w:w="7245" w:type="dxa"/>
            <w:tcBorders>
              <w:top w:val="nil"/>
              <w:left w:val="single" w:color="auto" w:sz="4" w:space="0"/>
              <w:bottom w:val="single" w:color="auto" w:sz="4" w:space="0"/>
              <w:right w:val="single" w:color="auto" w:sz="4" w:space="0"/>
            </w:tcBorders>
            <w:shd w:val="clear" w:color="auto" w:fill="auto"/>
            <w:vAlign w:val="center"/>
          </w:tcPr>
          <w:p>
            <w:pPr>
              <w:pStyle w:val="46"/>
              <w:rPr>
                <w:rFonts w:cs="宋体"/>
                <w:sz w:val="21"/>
                <w:szCs w:val="21"/>
                <w:lang w:val="en-US" w:eastAsia="zh-CN"/>
              </w:rPr>
            </w:pPr>
            <w:r>
              <w:rPr>
                <w:rFonts w:hint="eastAsia" w:cs="宋体"/>
                <w:sz w:val="21"/>
                <w:szCs w:val="21"/>
                <w:lang w:val="en-US" w:eastAsia="zh-CN"/>
              </w:rPr>
              <w:t>脊柱骨折脱位导致颈椎或腰椎畸形愈合，且颈部或腰部活动度丧失大于等于</w:t>
            </w:r>
            <w:r>
              <w:rPr>
                <w:rFonts w:cs="宋体"/>
                <w:sz w:val="21"/>
                <w:szCs w:val="21"/>
                <w:lang w:val="en-US" w:eastAsia="zh-CN"/>
              </w:rPr>
              <w:t>50%</w:t>
            </w:r>
          </w:p>
        </w:tc>
        <w:tc>
          <w:tcPr>
            <w:tcW w:w="1043" w:type="dxa"/>
            <w:tcBorders>
              <w:top w:val="nil"/>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8级</w:t>
            </w:r>
          </w:p>
        </w:tc>
      </w:tr>
      <w:tr>
        <w:tblPrEx>
          <w:tblCellMar>
            <w:top w:w="0" w:type="dxa"/>
            <w:left w:w="108" w:type="dxa"/>
            <w:bottom w:w="0" w:type="dxa"/>
            <w:right w:w="108" w:type="dxa"/>
          </w:tblCellMar>
        </w:tblPrEx>
        <w:trPr>
          <w:trHeight w:val="151" w:hRule="atLeast"/>
        </w:trPr>
        <w:tc>
          <w:tcPr>
            <w:tcW w:w="7245" w:type="dxa"/>
            <w:tcBorders>
              <w:top w:val="nil"/>
              <w:left w:val="single" w:color="auto" w:sz="4" w:space="0"/>
              <w:bottom w:val="single" w:color="auto" w:sz="4" w:space="0"/>
              <w:right w:val="single" w:color="auto" w:sz="4" w:space="0"/>
            </w:tcBorders>
            <w:shd w:val="clear" w:color="auto" w:fill="auto"/>
            <w:vAlign w:val="center"/>
          </w:tcPr>
          <w:p>
            <w:pPr>
              <w:pStyle w:val="46"/>
              <w:rPr>
                <w:rFonts w:cs="宋体"/>
                <w:sz w:val="21"/>
                <w:szCs w:val="21"/>
                <w:lang w:val="en-US" w:eastAsia="zh-CN"/>
              </w:rPr>
            </w:pPr>
            <w:r>
              <w:rPr>
                <w:rFonts w:hint="eastAsia" w:cs="宋体"/>
                <w:sz w:val="21"/>
                <w:szCs w:val="21"/>
                <w:lang w:val="en-US" w:eastAsia="zh-CN"/>
              </w:rPr>
              <w:t>脊柱骨折脱位导致颈椎或腰椎畸形愈合，且颈部或腰部活动度丧失大于等于</w:t>
            </w:r>
            <w:r>
              <w:rPr>
                <w:rFonts w:cs="宋体"/>
                <w:sz w:val="21"/>
                <w:szCs w:val="21"/>
                <w:lang w:val="en-US" w:eastAsia="zh-CN"/>
              </w:rPr>
              <w:t>25%</w:t>
            </w:r>
          </w:p>
        </w:tc>
        <w:tc>
          <w:tcPr>
            <w:tcW w:w="1043" w:type="dxa"/>
            <w:tcBorders>
              <w:top w:val="nil"/>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9级</w:t>
            </w:r>
          </w:p>
        </w:tc>
      </w:tr>
    </w:tbl>
    <w:p>
      <w:pPr>
        <w:ind w:firstLine="420"/>
        <w:contextualSpacing/>
        <w:rPr>
          <w:rFonts w:ascii="宋体" w:hAnsi="宋体"/>
          <w:szCs w:val="21"/>
        </w:rPr>
      </w:pPr>
    </w:p>
    <w:p>
      <w:pPr>
        <w:pStyle w:val="4"/>
        <w:numPr>
          <w:ilvl w:val="1"/>
          <w:numId w:val="1"/>
        </w:numPr>
        <w:ind w:left="0" w:firstLine="0"/>
        <w:contextualSpacing/>
        <w:rPr>
          <w:sz w:val="21"/>
          <w:szCs w:val="21"/>
        </w:rPr>
      </w:pPr>
      <w:bookmarkStart w:id="60" w:name="_Toc349826845"/>
      <w:bookmarkEnd w:id="60"/>
      <w:bookmarkStart w:id="61" w:name="_Toc349827001"/>
      <w:bookmarkEnd w:id="61"/>
      <w:bookmarkStart w:id="62" w:name="_Toc349832779"/>
      <w:bookmarkEnd w:id="62"/>
      <w:bookmarkStart w:id="63" w:name="_Toc349833434"/>
      <w:bookmarkEnd w:id="63"/>
      <w:bookmarkStart w:id="64" w:name="_Toc349833830"/>
      <w:bookmarkEnd w:id="64"/>
      <w:bookmarkStart w:id="65" w:name="_Toc356463500"/>
      <w:r>
        <w:rPr>
          <w:rFonts w:hint="eastAsia"/>
          <w:sz w:val="21"/>
          <w:szCs w:val="21"/>
        </w:rPr>
        <w:t>肌肉力量功能障碍</w:t>
      </w:r>
      <w:bookmarkEnd w:id="65"/>
    </w:p>
    <w:p>
      <w:pPr>
        <w:ind w:firstLine="420"/>
        <w:rPr>
          <w:rFonts w:ascii="宋体" w:hAnsi="宋体"/>
          <w:szCs w:val="21"/>
        </w:rPr>
      </w:pPr>
      <w:r>
        <w:rPr>
          <w:rFonts w:hint="eastAsia" w:ascii="宋体" w:hAnsi="宋体"/>
          <w:szCs w:val="21"/>
        </w:rPr>
        <w:t>肌肉力量功能是指与肌肉或肌群收缩产生力量有关的功能。本标准中的肌肉力量功能障碍是指四肢瘫、偏瘫、截瘫或单瘫。</w:t>
      </w:r>
    </w:p>
    <w:p>
      <w:pPr>
        <w:ind w:firstLine="420"/>
        <w:contextualSpacing/>
        <w:rPr>
          <w:rFonts w:ascii="宋体" w:hAnsi="宋体"/>
          <w:szCs w:val="21"/>
        </w:rPr>
      </w:pPr>
    </w:p>
    <w:tbl>
      <w:tblPr>
        <w:tblStyle w:val="18"/>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四肢瘫（三肢以上肌力小于等于</w:t>
            </w:r>
            <w:r>
              <w:rPr>
                <w:rFonts w:cs="宋体"/>
                <w:sz w:val="21"/>
                <w:szCs w:val="21"/>
                <w:lang w:val="en-US" w:eastAsia="zh-CN"/>
              </w:rPr>
              <w:t>3级)</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截瘫</w:t>
            </w:r>
            <w:r>
              <w:rPr>
                <w:rFonts w:cs="宋体"/>
                <w:sz w:val="21"/>
                <w:szCs w:val="21"/>
                <w:lang w:val="en-US" w:eastAsia="zh-CN"/>
              </w:rPr>
              <w:t>(肌力小于等于2级)且大便和小便失禁</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四肢瘫（二肢以上肌力小于等于</w:t>
            </w:r>
            <w:r>
              <w:rPr>
                <w:rFonts w:cs="宋体"/>
                <w:sz w:val="21"/>
                <w:szCs w:val="21"/>
                <w:lang w:val="en-US" w:eastAsia="zh-CN"/>
              </w:rPr>
              <w:t>2级)</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偏瘫（肌力小于等于</w:t>
            </w:r>
            <w:r>
              <w:rPr>
                <w:rFonts w:cs="宋体"/>
                <w:sz w:val="21"/>
                <w:szCs w:val="21"/>
                <w:lang w:val="en-US" w:eastAsia="zh-CN"/>
              </w:rPr>
              <w:t>2级)</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截瘫（肌力小于等于</w:t>
            </w:r>
            <w:r>
              <w:rPr>
                <w:rFonts w:cs="宋体"/>
                <w:sz w:val="21"/>
                <w:szCs w:val="21"/>
                <w:lang w:val="en-US" w:eastAsia="zh-CN"/>
              </w:rPr>
              <w:t>2级)</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四肢瘫（二肢以上肌力小于等于</w:t>
            </w:r>
            <w:r>
              <w:rPr>
                <w:rFonts w:cs="宋体"/>
                <w:sz w:val="21"/>
                <w:szCs w:val="21"/>
                <w:lang w:val="en-US" w:eastAsia="zh-CN"/>
              </w:rPr>
              <w:t>3级)</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偏瘫（肌力小于等于</w:t>
            </w:r>
            <w:r>
              <w:rPr>
                <w:rFonts w:cs="宋体"/>
                <w:sz w:val="21"/>
                <w:szCs w:val="21"/>
                <w:lang w:val="en-US" w:eastAsia="zh-CN"/>
              </w:rPr>
              <w:t>3级)</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截瘫（肌力小于等于</w:t>
            </w:r>
            <w:r>
              <w:rPr>
                <w:rFonts w:cs="宋体"/>
                <w:sz w:val="21"/>
                <w:szCs w:val="21"/>
                <w:lang w:val="en-US" w:eastAsia="zh-CN"/>
              </w:rPr>
              <w:t>3级)</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四肢瘫（二肢以上肌力小于等于4</w:t>
            </w:r>
            <w:r>
              <w:rPr>
                <w:rFonts w:cs="宋体"/>
                <w:sz w:val="21"/>
                <w:szCs w:val="21"/>
                <w:lang w:val="en-US" w:eastAsia="zh-CN"/>
              </w:rPr>
              <w:t>级)</w:t>
            </w:r>
          </w:p>
        </w:tc>
        <w:tc>
          <w:tcPr>
            <w:tcW w:w="1071" w:type="dxa"/>
            <w:shd w:val="clear" w:color="auto" w:fill="auto"/>
            <w:vAlign w:val="center"/>
          </w:tcPr>
          <w:p>
            <w:pPr>
              <w:pStyle w:val="46"/>
              <w:jc w:val="center"/>
              <w:rPr>
                <w:rFonts w:cs="宋体"/>
                <w:sz w:val="21"/>
                <w:szCs w:val="21"/>
                <w:lang w:val="en-US" w:eastAsia="zh-CN"/>
              </w:rPr>
            </w:pPr>
            <w:r>
              <w:rPr>
                <w:rFonts w:hint="eastAsia" w:cs="宋体"/>
                <w:sz w:val="21"/>
                <w:szCs w:val="21"/>
                <w:lang w:val="en-US" w:eastAsia="zh-CN"/>
              </w:rPr>
              <w:t>4</w:t>
            </w:r>
            <w:r>
              <w:rPr>
                <w:rFonts w:cs="宋体"/>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偏瘫（一肢肌力小于等于</w:t>
            </w:r>
            <w:r>
              <w:rPr>
                <w:rFonts w:cs="宋体"/>
                <w:sz w:val="21"/>
                <w:szCs w:val="21"/>
                <w:lang w:val="en-US" w:eastAsia="zh-CN"/>
              </w:rPr>
              <w:t>2级)</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截瘫（一肢肌力小于等于</w:t>
            </w:r>
            <w:r>
              <w:rPr>
                <w:rFonts w:cs="宋体"/>
                <w:sz w:val="21"/>
                <w:szCs w:val="21"/>
                <w:lang w:val="en-US" w:eastAsia="zh-CN"/>
              </w:rPr>
              <w:t>2级)</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单瘫（肌力小于等于</w:t>
            </w:r>
            <w:r>
              <w:rPr>
                <w:rFonts w:cs="宋体"/>
                <w:sz w:val="21"/>
                <w:szCs w:val="21"/>
                <w:lang w:val="en-US" w:eastAsia="zh-CN"/>
              </w:rPr>
              <w:t>2级)</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偏瘫（一肢肌力小于等于</w:t>
            </w:r>
            <w:r>
              <w:rPr>
                <w:rFonts w:cs="宋体"/>
                <w:sz w:val="21"/>
                <w:szCs w:val="21"/>
                <w:lang w:val="en-US" w:eastAsia="zh-CN"/>
              </w:rPr>
              <w:t>3级)</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截瘫（一肢肌力小于等于</w:t>
            </w:r>
            <w:r>
              <w:rPr>
                <w:rFonts w:cs="宋体"/>
                <w:sz w:val="21"/>
                <w:szCs w:val="21"/>
                <w:lang w:val="en-US" w:eastAsia="zh-CN"/>
              </w:rPr>
              <w:t>3级)</w:t>
            </w:r>
          </w:p>
        </w:tc>
        <w:tc>
          <w:tcPr>
            <w:tcW w:w="1071" w:type="dxa"/>
            <w:shd w:val="clear" w:color="auto" w:fill="auto"/>
            <w:vAlign w:val="center"/>
          </w:tcPr>
          <w:p>
            <w:pPr>
              <w:pStyle w:val="46"/>
              <w:jc w:val="center"/>
              <w:rPr>
                <w:rFonts w:cs="宋体"/>
                <w:sz w:val="21"/>
                <w:szCs w:val="21"/>
                <w:lang w:val="en-US" w:eastAsia="zh-CN"/>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单瘫（肌力小于等于</w:t>
            </w:r>
            <w:r>
              <w:rPr>
                <w:rFonts w:cs="宋体"/>
                <w:sz w:val="21"/>
                <w:szCs w:val="21"/>
                <w:lang w:val="en-US" w:eastAsia="zh-CN"/>
              </w:rPr>
              <w:t>3级)</w:t>
            </w:r>
          </w:p>
        </w:tc>
        <w:tc>
          <w:tcPr>
            <w:tcW w:w="1071" w:type="dxa"/>
            <w:shd w:val="clear" w:color="auto" w:fill="auto"/>
          </w:tcPr>
          <w:p>
            <w:pPr>
              <w:pStyle w:val="46"/>
              <w:jc w:val="center"/>
              <w:rPr>
                <w:rFonts w:cs="宋体"/>
                <w:sz w:val="21"/>
                <w:szCs w:val="21"/>
                <w:lang w:val="en-US" w:eastAsia="zh-CN"/>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偏瘫（一肢肌力小于等于</w:t>
            </w:r>
            <w:r>
              <w:rPr>
                <w:rFonts w:cs="宋体"/>
                <w:sz w:val="21"/>
                <w:szCs w:val="21"/>
                <w:lang w:val="en-US" w:eastAsia="zh-CN"/>
              </w:rPr>
              <w:t>4级)</w:t>
            </w:r>
          </w:p>
        </w:tc>
        <w:tc>
          <w:tcPr>
            <w:tcW w:w="1071" w:type="dxa"/>
            <w:shd w:val="clear" w:color="auto" w:fill="auto"/>
            <w:vAlign w:val="center"/>
          </w:tcPr>
          <w:p>
            <w:pPr>
              <w:pStyle w:val="46"/>
              <w:jc w:val="center"/>
              <w:rPr>
                <w:rFonts w:cs="宋体"/>
                <w:sz w:val="21"/>
                <w:szCs w:val="21"/>
                <w:lang w:val="en-US" w:eastAsia="zh-CN"/>
              </w:rPr>
            </w:pPr>
            <w:r>
              <w:rPr>
                <w:rFonts w:hint="eastAsia" w:cs="宋体"/>
                <w:sz w:val="21"/>
                <w:szCs w:val="21"/>
                <w:lang w:val="en-US" w:eastAsia="zh-CN"/>
              </w:rPr>
              <w:t>7</w:t>
            </w:r>
            <w:r>
              <w:rPr>
                <w:rFonts w:cs="宋体"/>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截瘫（一肢肌力小于等于</w:t>
            </w:r>
            <w:r>
              <w:rPr>
                <w:rFonts w:cs="宋体"/>
                <w:sz w:val="21"/>
                <w:szCs w:val="21"/>
                <w:lang w:val="en-US" w:eastAsia="zh-CN"/>
              </w:rPr>
              <w:t>4级)</w:t>
            </w:r>
          </w:p>
        </w:tc>
        <w:tc>
          <w:tcPr>
            <w:tcW w:w="1071" w:type="dxa"/>
            <w:shd w:val="clear" w:color="auto" w:fill="auto"/>
            <w:vAlign w:val="center"/>
          </w:tcPr>
          <w:p>
            <w:pPr>
              <w:pStyle w:val="46"/>
              <w:jc w:val="center"/>
              <w:rPr>
                <w:rFonts w:cs="宋体"/>
                <w:sz w:val="21"/>
                <w:szCs w:val="21"/>
                <w:lang w:val="en-US" w:eastAsia="zh-CN"/>
              </w:rPr>
            </w:pPr>
            <w:r>
              <w:rPr>
                <w:rFonts w:hint="eastAsia" w:cs="宋体"/>
                <w:sz w:val="21"/>
                <w:szCs w:val="21"/>
                <w:lang w:val="en-US" w:eastAsia="zh-CN"/>
              </w:rPr>
              <w:t>7</w:t>
            </w:r>
            <w:r>
              <w:rPr>
                <w:rFonts w:cs="宋体"/>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 w:hRule="atLeast"/>
        </w:trPr>
        <w:tc>
          <w:tcPr>
            <w:tcW w:w="7230" w:type="dxa"/>
            <w:shd w:val="clear" w:color="auto" w:fill="auto"/>
          </w:tcPr>
          <w:p>
            <w:pPr>
              <w:pStyle w:val="46"/>
              <w:rPr>
                <w:rFonts w:cs="宋体"/>
                <w:sz w:val="21"/>
                <w:szCs w:val="21"/>
                <w:lang w:val="en-US" w:eastAsia="zh-CN"/>
              </w:rPr>
            </w:pPr>
            <w:r>
              <w:rPr>
                <w:rFonts w:hint="eastAsia" w:cs="宋体"/>
                <w:sz w:val="21"/>
                <w:szCs w:val="21"/>
                <w:lang w:val="en-US" w:eastAsia="zh-CN"/>
              </w:rPr>
              <w:t>单瘫（肌力小于等于</w:t>
            </w:r>
            <w:r>
              <w:rPr>
                <w:rFonts w:cs="宋体"/>
                <w:sz w:val="21"/>
                <w:szCs w:val="21"/>
                <w:lang w:val="en-US" w:eastAsia="zh-CN"/>
              </w:rPr>
              <w:t>4级)</w:t>
            </w:r>
          </w:p>
        </w:tc>
        <w:tc>
          <w:tcPr>
            <w:tcW w:w="1071" w:type="dxa"/>
            <w:shd w:val="clear" w:color="auto" w:fill="auto"/>
          </w:tcPr>
          <w:p>
            <w:pPr>
              <w:pStyle w:val="46"/>
              <w:jc w:val="center"/>
              <w:rPr>
                <w:rFonts w:cs="宋体"/>
                <w:sz w:val="21"/>
                <w:szCs w:val="21"/>
                <w:lang w:val="en-US" w:eastAsia="zh-CN"/>
              </w:rPr>
            </w:pPr>
            <w:r>
              <w:rPr>
                <w:rFonts w:cs="宋体"/>
                <w:sz w:val="21"/>
                <w:szCs w:val="21"/>
                <w:lang w:val="en-US" w:eastAsia="zh-CN"/>
              </w:rPr>
              <w:t>8级</w:t>
            </w:r>
          </w:p>
        </w:tc>
      </w:tr>
    </w:tbl>
    <w:p>
      <w:pPr>
        <w:pStyle w:val="44"/>
        <w:rPr>
          <w:rFonts w:ascii="宋体" w:hAnsi="宋体" w:eastAsia="宋体"/>
          <w:sz w:val="21"/>
          <w:szCs w:val="21"/>
        </w:rPr>
      </w:pPr>
      <w:r>
        <w:rPr>
          <w:rFonts w:hint="eastAsia" w:ascii="宋体" w:hAnsi="宋体" w:eastAsia="宋体"/>
          <w:sz w:val="21"/>
          <w:szCs w:val="21"/>
        </w:rPr>
        <w:t>注：</w:t>
      </w: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偏瘫指一侧上下肢的瘫痪。</w:t>
      </w:r>
    </w:p>
    <w:p>
      <w:pPr>
        <w:pStyle w:val="44"/>
        <w:ind w:left="697" w:leftChars="153" w:hanging="376"/>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截瘫指脊髓损伤后，受伤平面以下双侧肢体感觉、运动、反射等消失和膀胱、肛门括约肌功能丧失的病症。</w:t>
      </w:r>
    </w:p>
    <w:p>
      <w:pPr>
        <w:pStyle w:val="44"/>
        <w:ind w:firstLine="42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单瘫指一个肢体或肢体的某一部分瘫痪。</w:t>
      </w:r>
    </w:p>
    <w:p>
      <w:pPr>
        <w:pStyle w:val="44"/>
        <w:ind w:firstLine="42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4 \* GB3 </w:instrText>
      </w:r>
      <w:r>
        <w:rPr>
          <w:rFonts w:ascii="宋体" w:hAnsi="宋体" w:eastAsia="宋体"/>
          <w:sz w:val="21"/>
          <w:szCs w:val="21"/>
        </w:rPr>
        <w:fldChar w:fldCharType="separate"/>
      </w:r>
      <w:r>
        <w:rPr>
          <w:rFonts w:hint="eastAsia" w:ascii="宋体" w:hAnsi="宋体" w:eastAsia="宋体"/>
          <w:sz w:val="21"/>
          <w:szCs w:val="21"/>
        </w:rPr>
        <w:t>④</w:t>
      </w:r>
      <w:r>
        <w:rPr>
          <w:rFonts w:ascii="宋体" w:hAnsi="宋体" w:eastAsia="宋体"/>
          <w:sz w:val="21"/>
          <w:szCs w:val="21"/>
        </w:rPr>
        <w:fldChar w:fldCharType="end"/>
      </w:r>
      <w:r>
        <w:rPr>
          <w:rFonts w:ascii="宋体" w:hAnsi="宋体" w:eastAsia="宋体"/>
          <w:sz w:val="21"/>
          <w:szCs w:val="21"/>
        </w:rPr>
        <w:t xml:space="preserve"> 肌力：为判断肢体瘫痪程度，将肌力分级划分为0-5级。</w:t>
      </w:r>
    </w:p>
    <w:p>
      <w:pPr>
        <w:pStyle w:val="44"/>
        <w:ind w:firstLine="720"/>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0级：肌肉完全瘫痪，毫无收缩。</w:t>
      </w:r>
    </w:p>
    <w:p>
      <w:pPr>
        <w:pStyle w:val="44"/>
        <w:rPr>
          <w:rFonts w:ascii="宋体" w:hAnsi="宋体" w:eastAsia="宋体"/>
          <w:sz w:val="21"/>
          <w:szCs w:val="21"/>
        </w:rPr>
      </w:pPr>
      <w:r>
        <w:rPr>
          <w:rFonts w:hint="eastAsia" w:ascii="宋体" w:hAnsi="宋体" w:eastAsia="宋体"/>
          <w:sz w:val="21"/>
          <w:szCs w:val="21"/>
        </w:rPr>
        <w:t>　</w:t>
      </w: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1级：可看到或触及肌肉轻微收缩，但不能产生动作。</w:t>
      </w:r>
    </w:p>
    <w:p>
      <w:pPr>
        <w:pStyle w:val="44"/>
        <w:ind w:left="1737" w:hanging="1737"/>
        <w:rPr>
          <w:rFonts w:ascii="宋体" w:hAnsi="宋体" w:eastAsia="宋体"/>
          <w:sz w:val="21"/>
          <w:szCs w:val="21"/>
        </w:rPr>
      </w:pPr>
      <w:r>
        <w:rPr>
          <w:rFonts w:hint="eastAsia" w:ascii="宋体" w:hAnsi="宋体" w:eastAsia="宋体"/>
          <w:sz w:val="21"/>
          <w:szCs w:val="21"/>
        </w:rPr>
        <w:t>　　</w:t>
      </w: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2级：肌肉在不受重力影响下，可进行运动，即肢体能在床面上移动，但不能抬高。</w:t>
      </w:r>
    </w:p>
    <w:p>
      <w:pPr>
        <w:pStyle w:val="44"/>
        <w:ind w:left="1737" w:hanging="1737"/>
        <w:rPr>
          <w:rFonts w:ascii="宋体" w:hAnsi="宋体" w:eastAsia="宋体"/>
          <w:sz w:val="21"/>
          <w:szCs w:val="21"/>
        </w:rPr>
      </w:pPr>
      <w:r>
        <w:rPr>
          <w:rFonts w:hint="eastAsia" w:ascii="宋体" w:hAnsi="宋体" w:eastAsia="宋体"/>
          <w:sz w:val="21"/>
          <w:szCs w:val="21"/>
        </w:rPr>
        <w:t>　　</w:t>
      </w: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3级：在和地心引力相反的方向中尚能完成其动作，但不能对抗外加的阻力。</w:t>
      </w:r>
    </w:p>
    <w:p>
      <w:pPr>
        <w:pStyle w:val="44"/>
        <w:rPr>
          <w:rFonts w:ascii="宋体" w:hAnsi="宋体" w:eastAsia="宋体"/>
          <w:sz w:val="21"/>
          <w:szCs w:val="21"/>
        </w:rPr>
      </w:pPr>
      <w:r>
        <w:rPr>
          <w:rFonts w:hint="eastAsia" w:ascii="宋体" w:hAnsi="宋体" w:eastAsia="宋体"/>
          <w:sz w:val="21"/>
          <w:szCs w:val="21"/>
        </w:rPr>
        <w:t>　　</w:t>
      </w: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4级：能对抗一定的阻力，但较正常人为低。</w:t>
      </w:r>
    </w:p>
    <w:p>
      <w:pPr>
        <w:pStyle w:val="44"/>
        <w:rPr>
          <w:rFonts w:ascii="宋体" w:hAnsi="宋体" w:eastAsia="宋体"/>
          <w:sz w:val="21"/>
          <w:szCs w:val="21"/>
        </w:rPr>
      </w:pPr>
      <w:r>
        <w:rPr>
          <w:rFonts w:hint="eastAsia" w:ascii="宋体" w:hAnsi="宋体" w:eastAsia="宋体"/>
          <w:sz w:val="21"/>
          <w:szCs w:val="21"/>
        </w:rPr>
        <w:t>　　</w:t>
      </w: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5级：正常肌力</w:t>
      </w:r>
      <w:r>
        <w:rPr>
          <w:rFonts w:hint="eastAsia" w:ascii="宋体" w:hAnsi="宋体" w:eastAsia="宋体"/>
          <w:sz w:val="21"/>
          <w:szCs w:val="21"/>
        </w:rPr>
        <w:t>。</w:t>
      </w:r>
    </w:p>
    <w:p>
      <w:pPr>
        <w:ind w:firstLine="420"/>
        <w:contextualSpacing/>
        <w:rPr>
          <w:rFonts w:ascii="宋体" w:hAnsi="宋体"/>
          <w:szCs w:val="21"/>
        </w:rPr>
      </w:pPr>
    </w:p>
    <w:p>
      <w:pPr>
        <w:pStyle w:val="3"/>
        <w:numPr>
          <w:ilvl w:val="0"/>
          <w:numId w:val="1"/>
        </w:numPr>
        <w:contextualSpacing/>
        <w:rPr>
          <w:rFonts w:ascii="宋体" w:hAnsi="宋体"/>
          <w:sz w:val="21"/>
          <w:szCs w:val="21"/>
        </w:rPr>
      </w:pPr>
      <w:bookmarkStart w:id="66" w:name="_Toc356463501"/>
      <w:r>
        <w:rPr>
          <w:rFonts w:hint="eastAsia" w:ascii="宋体" w:hAnsi="宋体"/>
          <w:sz w:val="21"/>
          <w:szCs w:val="21"/>
        </w:rPr>
        <w:t>皮肤和有关的结构和功能</w:t>
      </w:r>
      <w:bookmarkEnd w:id="66"/>
    </w:p>
    <w:p>
      <w:pPr>
        <w:pStyle w:val="4"/>
        <w:numPr>
          <w:ilvl w:val="1"/>
          <w:numId w:val="1"/>
        </w:numPr>
        <w:ind w:left="0" w:firstLine="0"/>
        <w:contextualSpacing/>
        <w:rPr>
          <w:sz w:val="21"/>
          <w:szCs w:val="21"/>
        </w:rPr>
      </w:pPr>
      <w:bookmarkStart w:id="67" w:name="_Toc356463502"/>
      <w:r>
        <w:rPr>
          <w:rFonts w:hint="eastAsia"/>
          <w:sz w:val="21"/>
          <w:szCs w:val="21"/>
        </w:rPr>
        <w:t>头颈部皮肤结构损伤和修复功能障碍</w:t>
      </w:r>
      <w:bookmarkEnd w:id="67"/>
    </w:p>
    <w:p>
      <w:pPr>
        <w:ind w:firstLine="420"/>
        <w:rPr>
          <w:rFonts w:ascii="宋体" w:hAnsi="宋体"/>
          <w:szCs w:val="21"/>
        </w:rPr>
      </w:pPr>
      <w:r>
        <w:rPr>
          <w:rFonts w:hint="eastAsia" w:ascii="宋体" w:hAnsi="宋体"/>
          <w:szCs w:val="21"/>
        </w:rPr>
        <w:t>皮肤的修复功能是指修复皮肤破损和其他损伤的功能。本标准中的皮肤修复功能障碍是指瘢痕形成。</w:t>
      </w:r>
    </w:p>
    <w:p>
      <w:pPr>
        <w:ind w:firstLine="420"/>
        <w:contextualSpacing/>
        <w:rPr>
          <w:rFonts w:ascii="宋体" w:hAnsi="宋体"/>
          <w:szCs w:val="21"/>
        </w:rPr>
      </w:pPr>
    </w:p>
    <w:tbl>
      <w:tblPr>
        <w:tblStyle w:val="18"/>
        <w:tblW w:w="828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5" w:type="dxa"/>
            <w:tcBorders>
              <w:top w:val="single" w:color="auto" w:sz="4" w:space="0"/>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头颈部</w:t>
            </w:r>
            <w:r>
              <w:rPr>
                <w:rFonts w:cs="宋体"/>
                <w:sz w:val="21"/>
                <w:szCs w:val="21"/>
                <w:lang w:val="en-US" w:eastAsia="zh-CN"/>
              </w:rPr>
              <w:t>III度烧伤，面积大于等于全身体表面积的8%</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6"/>
              <w:jc w:val="center"/>
              <w:rPr>
                <w:rFonts w:cs="宋体"/>
                <w:color w:val="000000"/>
                <w:sz w:val="21"/>
                <w:szCs w:val="21"/>
                <w:lang w:val="en-US" w:eastAsia="zh-CN"/>
              </w:rPr>
            </w:pPr>
            <w:r>
              <w:rPr>
                <w:rFonts w:hint="eastAsia" w:cs="宋体"/>
                <w:color w:val="000000"/>
                <w:sz w:val="21"/>
                <w:szCs w:val="21"/>
                <w:lang w:val="en-US" w:eastAsia="zh-CN"/>
              </w:rPr>
              <w:t>2</w:t>
            </w:r>
            <w:r>
              <w:rPr>
                <w:rFonts w:cs="宋体"/>
                <w:color w:val="000000"/>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245" w:type="dxa"/>
            <w:shd w:val="clear" w:color="auto" w:fill="auto"/>
          </w:tcPr>
          <w:p>
            <w:pPr>
              <w:pStyle w:val="46"/>
              <w:rPr>
                <w:rFonts w:cs="宋体"/>
                <w:sz w:val="21"/>
                <w:szCs w:val="21"/>
                <w:lang w:val="en-US" w:eastAsia="zh-CN"/>
              </w:rPr>
            </w:pPr>
            <w:r>
              <w:rPr>
                <w:rFonts w:hint="eastAsia" w:cs="宋体"/>
                <w:sz w:val="21"/>
                <w:szCs w:val="21"/>
                <w:lang w:val="en-US" w:eastAsia="zh-CN"/>
              </w:rPr>
              <w:t>面部皮肤损伤导致瘢痕形成，且瘢痕面积大于等于面部皮肤面积的</w:t>
            </w:r>
            <w:r>
              <w:rPr>
                <w:rFonts w:cs="宋体"/>
                <w:sz w:val="21"/>
                <w:szCs w:val="21"/>
                <w:lang w:val="en-US" w:eastAsia="zh-CN"/>
              </w:rPr>
              <w:t>90%</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7245" w:type="dxa"/>
            <w:shd w:val="clear" w:color="auto" w:fill="auto"/>
          </w:tcPr>
          <w:p>
            <w:pPr>
              <w:pStyle w:val="46"/>
              <w:rPr>
                <w:rFonts w:cs="宋体"/>
                <w:sz w:val="21"/>
                <w:szCs w:val="21"/>
                <w:lang w:val="en-US" w:eastAsia="zh-CN"/>
              </w:rPr>
            </w:pPr>
            <w:r>
              <w:rPr>
                <w:rFonts w:hint="eastAsia" w:cs="宋体"/>
                <w:sz w:val="21"/>
                <w:szCs w:val="21"/>
                <w:lang w:val="en-US" w:eastAsia="zh-CN"/>
              </w:rPr>
              <w:t>颈部皮肤损伤导致瘢痕形成，颈部活动度完全丧失</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5" w:type="dxa"/>
            <w:shd w:val="clear" w:color="auto" w:fill="auto"/>
          </w:tcPr>
          <w:p>
            <w:pPr>
              <w:pStyle w:val="46"/>
              <w:rPr>
                <w:rFonts w:cs="宋体"/>
                <w:sz w:val="21"/>
                <w:szCs w:val="21"/>
                <w:lang w:val="en-US" w:eastAsia="zh-CN"/>
              </w:rPr>
            </w:pPr>
            <w:r>
              <w:rPr>
                <w:rFonts w:hint="eastAsia" w:cs="宋体"/>
                <w:sz w:val="21"/>
                <w:szCs w:val="21"/>
                <w:lang w:val="en-US" w:eastAsia="zh-CN"/>
              </w:rPr>
              <w:t>面部皮肤损伤导致瘢痕形成，且瘢痕面积大于等于面部皮肤面积的</w:t>
            </w:r>
            <w:r>
              <w:rPr>
                <w:rFonts w:cs="宋体"/>
                <w:sz w:val="21"/>
                <w:szCs w:val="21"/>
                <w:lang w:val="en-US" w:eastAsia="zh-CN"/>
              </w:rPr>
              <w:t>80%</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7245" w:type="dxa"/>
            <w:shd w:val="clear" w:color="auto" w:fill="auto"/>
          </w:tcPr>
          <w:p>
            <w:pPr>
              <w:pStyle w:val="46"/>
              <w:rPr>
                <w:rFonts w:cs="宋体"/>
                <w:sz w:val="21"/>
                <w:szCs w:val="21"/>
                <w:lang w:val="en-US" w:eastAsia="zh-CN"/>
              </w:rPr>
            </w:pPr>
            <w:r>
              <w:rPr>
                <w:rFonts w:hint="eastAsia" w:cs="宋体"/>
                <w:sz w:val="21"/>
                <w:szCs w:val="21"/>
                <w:lang w:val="en-US" w:eastAsia="zh-CN"/>
              </w:rPr>
              <w:t>颈部皮肤损伤导致瘢痕形成，颈部活动度丧失大于等于</w:t>
            </w:r>
            <w:r>
              <w:rPr>
                <w:rFonts w:cs="宋体"/>
                <w:sz w:val="21"/>
                <w:szCs w:val="21"/>
                <w:lang w:val="en-US" w:eastAsia="zh-CN"/>
              </w:rPr>
              <w:t>75%</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5" w:type="dxa"/>
            <w:shd w:val="clear" w:color="auto" w:fill="auto"/>
          </w:tcPr>
          <w:p>
            <w:pPr>
              <w:pStyle w:val="46"/>
              <w:rPr>
                <w:rFonts w:cs="宋体"/>
                <w:sz w:val="21"/>
                <w:szCs w:val="21"/>
                <w:lang w:val="en-US" w:eastAsia="zh-CN"/>
              </w:rPr>
            </w:pPr>
            <w:r>
              <w:rPr>
                <w:rFonts w:hint="eastAsia" w:cs="宋体"/>
                <w:sz w:val="21"/>
                <w:szCs w:val="21"/>
                <w:lang w:val="en-US" w:eastAsia="zh-CN"/>
              </w:rPr>
              <w:t>面部皮肤损伤导致瘢痕形成，且瘢痕面积大于等于面部皮肤面积的</w:t>
            </w:r>
            <w:r>
              <w:rPr>
                <w:rFonts w:cs="宋体"/>
                <w:sz w:val="21"/>
                <w:szCs w:val="21"/>
                <w:lang w:val="en-US" w:eastAsia="zh-CN"/>
              </w:rPr>
              <w:t>60%</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头颈部</w:t>
            </w:r>
            <w:r>
              <w:rPr>
                <w:rFonts w:cs="宋体"/>
                <w:sz w:val="21"/>
                <w:szCs w:val="21"/>
                <w:lang w:val="en-US" w:eastAsia="zh-CN"/>
              </w:rPr>
              <w:t>III度烧伤，面积大于等于全身体表面积的5%，且小于8%</w:t>
            </w:r>
          </w:p>
        </w:tc>
        <w:tc>
          <w:tcPr>
            <w:tcW w:w="1043" w:type="dxa"/>
            <w:tcBorders>
              <w:bottom w:val="single" w:color="auto" w:sz="4" w:space="0"/>
            </w:tcBorders>
            <w:shd w:val="clear" w:color="auto" w:fill="auto"/>
            <w:vAlign w:val="center"/>
          </w:tcPr>
          <w:p>
            <w:pPr>
              <w:pStyle w:val="46"/>
              <w:jc w:val="center"/>
              <w:rPr>
                <w:rFonts w:cs="宋体"/>
                <w:color w:val="000000"/>
                <w:sz w:val="21"/>
                <w:szCs w:val="21"/>
                <w:lang w:val="en-US" w:eastAsia="zh-CN"/>
              </w:rPr>
            </w:pPr>
            <w:r>
              <w:rPr>
                <w:rFonts w:hint="eastAsia" w:cs="宋体"/>
                <w:color w:val="000000"/>
                <w:sz w:val="21"/>
                <w:szCs w:val="21"/>
                <w:lang w:val="en-US" w:eastAsia="zh-CN"/>
              </w:rPr>
              <w:t>5</w:t>
            </w:r>
            <w:r>
              <w:rPr>
                <w:rFonts w:cs="宋体"/>
                <w:color w:val="000000"/>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5" w:type="dxa"/>
            <w:shd w:val="clear" w:color="auto" w:fill="auto"/>
          </w:tcPr>
          <w:p>
            <w:pPr>
              <w:pStyle w:val="46"/>
              <w:rPr>
                <w:rFonts w:cs="宋体"/>
                <w:sz w:val="21"/>
                <w:szCs w:val="21"/>
                <w:lang w:val="en-US" w:eastAsia="zh-CN"/>
              </w:rPr>
            </w:pPr>
            <w:r>
              <w:rPr>
                <w:rFonts w:hint="eastAsia" w:cs="宋体"/>
                <w:sz w:val="21"/>
                <w:szCs w:val="21"/>
                <w:lang w:val="en-US" w:eastAsia="zh-CN"/>
              </w:rPr>
              <w:t>颈部皮肤损伤导致瘢痕形成，颈部活动度丧失大于等于</w:t>
            </w:r>
            <w:r>
              <w:rPr>
                <w:rFonts w:cs="宋体"/>
                <w:sz w:val="21"/>
                <w:szCs w:val="21"/>
                <w:lang w:val="en-US" w:eastAsia="zh-CN"/>
              </w:rPr>
              <w:t>50%</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45" w:type="dxa"/>
            <w:shd w:val="clear" w:color="auto" w:fill="auto"/>
          </w:tcPr>
          <w:p>
            <w:pPr>
              <w:pStyle w:val="46"/>
              <w:rPr>
                <w:rFonts w:cs="宋体"/>
                <w:sz w:val="21"/>
                <w:szCs w:val="21"/>
                <w:lang w:val="en-US" w:eastAsia="zh-CN"/>
              </w:rPr>
            </w:pPr>
            <w:r>
              <w:rPr>
                <w:rFonts w:hint="eastAsia" w:cs="宋体"/>
                <w:sz w:val="21"/>
                <w:szCs w:val="21"/>
                <w:lang w:val="en-US" w:eastAsia="zh-CN"/>
              </w:rPr>
              <w:t>面部皮肤损伤导致瘢痕形成，且瘢痕面积大于等于面部皮肤面积的</w:t>
            </w:r>
            <w:r>
              <w:rPr>
                <w:rFonts w:cs="宋体"/>
                <w:sz w:val="21"/>
                <w:szCs w:val="21"/>
                <w:lang w:val="en-US" w:eastAsia="zh-CN"/>
              </w:rPr>
              <w:t>40%</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5" w:type="dxa"/>
            <w:shd w:val="clear" w:color="auto" w:fill="auto"/>
          </w:tcPr>
          <w:p>
            <w:pPr>
              <w:pStyle w:val="46"/>
              <w:rPr>
                <w:rFonts w:cs="宋体"/>
                <w:sz w:val="21"/>
                <w:szCs w:val="21"/>
                <w:lang w:val="en-US" w:eastAsia="zh-CN"/>
              </w:rPr>
            </w:pPr>
            <w:r>
              <w:rPr>
                <w:rFonts w:hint="eastAsia" w:cs="宋体"/>
                <w:sz w:val="21"/>
                <w:szCs w:val="21"/>
                <w:lang w:val="en-US" w:eastAsia="zh-CN"/>
              </w:rPr>
              <w:t>面部皮肤损伤导致瘢痕形成，且瘢痕面积大于等于面部皮肤面积的</w:t>
            </w:r>
            <w:r>
              <w:rPr>
                <w:rFonts w:cs="宋体"/>
                <w:sz w:val="21"/>
                <w:szCs w:val="21"/>
                <w:lang w:val="en-US" w:eastAsia="zh-CN"/>
              </w:rPr>
              <w:t>20%</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头部撕脱伤后导致头皮缺失，面积大于等于头皮面积的</w:t>
            </w:r>
            <w:r>
              <w:rPr>
                <w:rFonts w:cs="宋体"/>
                <w:sz w:val="21"/>
                <w:szCs w:val="21"/>
                <w:lang w:val="en-US" w:eastAsia="zh-CN"/>
              </w:rPr>
              <w:t>20%</w:t>
            </w:r>
          </w:p>
        </w:tc>
        <w:tc>
          <w:tcPr>
            <w:tcW w:w="1043" w:type="dxa"/>
            <w:tcBorders>
              <w:bottom w:val="single" w:color="auto" w:sz="4" w:space="0"/>
            </w:tcBorders>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5" w:type="dxa"/>
            <w:shd w:val="clear" w:color="auto" w:fill="auto"/>
          </w:tcPr>
          <w:p>
            <w:pPr>
              <w:pStyle w:val="46"/>
              <w:rPr>
                <w:rFonts w:cs="宋体"/>
                <w:sz w:val="21"/>
                <w:szCs w:val="21"/>
                <w:lang w:val="en-US" w:eastAsia="zh-CN"/>
              </w:rPr>
            </w:pPr>
            <w:r>
              <w:rPr>
                <w:rFonts w:hint="eastAsia" w:cs="宋体"/>
                <w:sz w:val="21"/>
                <w:szCs w:val="21"/>
                <w:lang w:val="en-US" w:eastAsia="zh-CN"/>
              </w:rPr>
              <w:t>颈部皮肤损伤导致颈前三角区瘢痕形成，且瘢痕面积大于等于颈前三角区面积的</w:t>
            </w:r>
            <w:r>
              <w:rPr>
                <w:rFonts w:cs="宋体"/>
                <w:sz w:val="21"/>
                <w:szCs w:val="21"/>
                <w:lang w:val="en-US" w:eastAsia="zh-CN"/>
              </w:rPr>
              <w:t>75%</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45" w:type="dxa"/>
            <w:shd w:val="clear" w:color="auto" w:fill="auto"/>
          </w:tcPr>
          <w:p>
            <w:pPr>
              <w:pStyle w:val="46"/>
              <w:rPr>
                <w:rFonts w:cs="宋体"/>
                <w:sz w:val="21"/>
                <w:szCs w:val="21"/>
                <w:lang w:val="en-US" w:eastAsia="zh-CN"/>
              </w:rPr>
            </w:pPr>
            <w:r>
              <w:rPr>
                <w:rFonts w:hint="eastAsia" w:cs="宋体"/>
                <w:sz w:val="21"/>
                <w:szCs w:val="21"/>
                <w:lang w:val="en-US" w:eastAsia="zh-CN"/>
              </w:rPr>
              <w:t>面部皮肤损伤导致瘢痕形成，且瘢痕面积大于等于</w:t>
            </w:r>
            <w:r>
              <w:rPr>
                <w:rFonts w:cs="宋体"/>
                <w:sz w:val="21"/>
                <w:szCs w:val="21"/>
                <w:lang w:val="en-US" w:eastAsia="zh-CN"/>
              </w:rPr>
              <w:t>24cm</w:t>
            </w:r>
            <w:r>
              <w:rPr>
                <w:rFonts w:cs="宋体"/>
                <w:sz w:val="21"/>
                <w:szCs w:val="21"/>
                <w:vertAlign w:val="superscript"/>
                <w:lang w:val="en-US" w:eastAsia="zh-CN"/>
              </w:rPr>
              <w:t>2</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头颈部</w:t>
            </w:r>
            <w:r>
              <w:rPr>
                <w:rFonts w:cs="宋体"/>
                <w:sz w:val="21"/>
                <w:szCs w:val="21"/>
                <w:lang w:val="en-US" w:eastAsia="zh-CN"/>
              </w:rPr>
              <w:t>III度烧伤，面积大于等于全身体表面积的2%，且小于5%</w:t>
            </w:r>
          </w:p>
        </w:tc>
        <w:tc>
          <w:tcPr>
            <w:tcW w:w="1043" w:type="dxa"/>
            <w:tcBorders>
              <w:bottom w:val="single" w:color="auto" w:sz="4" w:space="0"/>
            </w:tcBorders>
            <w:shd w:val="clear" w:color="auto" w:fill="auto"/>
            <w:vAlign w:val="center"/>
          </w:tcPr>
          <w:p>
            <w:pPr>
              <w:pStyle w:val="46"/>
              <w:jc w:val="center"/>
              <w:rPr>
                <w:rFonts w:cs="宋体"/>
                <w:color w:val="000000"/>
                <w:sz w:val="21"/>
                <w:szCs w:val="21"/>
                <w:lang w:val="en-US" w:eastAsia="zh-CN"/>
              </w:rPr>
            </w:pPr>
            <w:r>
              <w:rPr>
                <w:rFonts w:hint="eastAsia" w:cs="宋体"/>
                <w:color w:val="000000"/>
                <w:sz w:val="21"/>
                <w:szCs w:val="21"/>
                <w:lang w:val="en-US" w:eastAsia="zh-CN"/>
              </w:rPr>
              <w:t>8</w:t>
            </w:r>
            <w:r>
              <w:rPr>
                <w:rFonts w:cs="宋体"/>
                <w:color w:val="000000"/>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45" w:type="dxa"/>
            <w:shd w:val="clear" w:color="auto" w:fill="auto"/>
          </w:tcPr>
          <w:p>
            <w:pPr>
              <w:pStyle w:val="46"/>
              <w:rPr>
                <w:rFonts w:cs="宋体"/>
                <w:sz w:val="21"/>
                <w:szCs w:val="21"/>
                <w:lang w:val="en-US" w:eastAsia="zh-CN"/>
              </w:rPr>
            </w:pPr>
            <w:r>
              <w:rPr>
                <w:rFonts w:hint="eastAsia" w:cs="宋体"/>
                <w:sz w:val="21"/>
                <w:szCs w:val="21"/>
                <w:lang w:val="en-US" w:eastAsia="zh-CN"/>
              </w:rPr>
              <w:t>颈部皮肤损伤导致颈前三角区瘢痕形成，且瘢痕面积大于等于颈前三角区面积的</w:t>
            </w:r>
            <w:r>
              <w:rPr>
                <w:rFonts w:cs="宋体"/>
                <w:sz w:val="21"/>
                <w:szCs w:val="21"/>
                <w:lang w:val="en-US" w:eastAsia="zh-CN"/>
              </w:rPr>
              <w:t>50%</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45" w:type="dxa"/>
            <w:shd w:val="clear" w:color="auto" w:fill="auto"/>
          </w:tcPr>
          <w:p>
            <w:pPr>
              <w:pStyle w:val="46"/>
              <w:rPr>
                <w:rFonts w:cs="宋体"/>
                <w:sz w:val="21"/>
                <w:szCs w:val="21"/>
                <w:lang w:val="en-US" w:eastAsia="zh-CN"/>
              </w:rPr>
            </w:pPr>
            <w:r>
              <w:rPr>
                <w:rFonts w:hint="eastAsia" w:cs="宋体"/>
                <w:sz w:val="21"/>
                <w:szCs w:val="21"/>
                <w:lang w:val="en-US" w:eastAsia="zh-CN"/>
              </w:rPr>
              <w:t>面部皮肤损伤导致瘢痕形成，且瘢痕面积大于等于</w:t>
            </w:r>
            <w:r>
              <w:rPr>
                <w:rFonts w:cs="宋体"/>
                <w:sz w:val="21"/>
                <w:szCs w:val="21"/>
                <w:lang w:val="en-US" w:eastAsia="zh-CN"/>
              </w:rPr>
              <w:t>18cm</w:t>
            </w:r>
            <w:r>
              <w:rPr>
                <w:rFonts w:cs="宋体"/>
                <w:sz w:val="21"/>
                <w:szCs w:val="21"/>
                <w:vertAlign w:val="superscript"/>
                <w:lang w:val="en-US" w:eastAsia="zh-CN"/>
              </w:rPr>
              <w:t>2</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245" w:type="dxa"/>
            <w:shd w:val="clear" w:color="auto" w:fill="auto"/>
          </w:tcPr>
          <w:p>
            <w:pPr>
              <w:pStyle w:val="46"/>
              <w:rPr>
                <w:rFonts w:cs="宋体"/>
                <w:sz w:val="21"/>
                <w:szCs w:val="21"/>
                <w:lang w:val="en-US" w:eastAsia="zh-CN"/>
              </w:rPr>
            </w:pPr>
            <w:r>
              <w:rPr>
                <w:rFonts w:hint="eastAsia" w:cs="宋体"/>
                <w:sz w:val="21"/>
                <w:szCs w:val="21"/>
                <w:lang w:val="en-US" w:eastAsia="zh-CN"/>
              </w:rPr>
              <w:t>面部皮肤损伤导致瘢痕形成，且瘢痕面积大于等于</w:t>
            </w:r>
            <w:r>
              <w:rPr>
                <w:rFonts w:cs="宋体"/>
                <w:sz w:val="21"/>
                <w:szCs w:val="21"/>
                <w:lang w:val="en-US" w:eastAsia="zh-CN"/>
              </w:rPr>
              <w:t>12cm</w:t>
            </w:r>
            <w:r>
              <w:rPr>
                <w:rFonts w:cs="宋体"/>
                <w:sz w:val="21"/>
                <w:szCs w:val="21"/>
                <w:vertAlign w:val="superscript"/>
                <w:lang w:val="en-US" w:eastAsia="zh-CN"/>
              </w:rPr>
              <w:t>2</w:t>
            </w:r>
            <w:r>
              <w:rPr>
                <w:rFonts w:hint="eastAsia" w:cs="宋体"/>
                <w:sz w:val="21"/>
                <w:szCs w:val="21"/>
                <w:lang w:val="en-US" w:eastAsia="zh-CN"/>
              </w:rPr>
              <w:t>或面部线条状瘢痕大于等于</w:t>
            </w:r>
            <w:r>
              <w:rPr>
                <w:rFonts w:cs="宋体"/>
                <w:sz w:val="21"/>
                <w:szCs w:val="21"/>
                <w:lang w:val="en-US" w:eastAsia="zh-CN"/>
              </w:rPr>
              <w:t>20cm</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45" w:type="dxa"/>
            <w:shd w:val="clear" w:color="auto" w:fill="auto"/>
          </w:tcPr>
          <w:p>
            <w:pPr>
              <w:pStyle w:val="46"/>
              <w:rPr>
                <w:rFonts w:cs="宋体"/>
                <w:sz w:val="21"/>
                <w:szCs w:val="21"/>
                <w:lang w:val="en-US" w:eastAsia="zh-CN"/>
              </w:rPr>
            </w:pPr>
            <w:r>
              <w:rPr>
                <w:rFonts w:hint="eastAsia" w:cs="宋体"/>
                <w:sz w:val="21"/>
                <w:szCs w:val="21"/>
                <w:lang w:val="en-US" w:eastAsia="zh-CN"/>
              </w:rPr>
              <w:t>面部皮肤损伤导致瘢痕形成，且瘢痕面积大于等于</w:t>
            </w:r>
            <w:r>
              <w:rPr>
                <w:rFonts w:cs="宋体"/>
                <w:sz w:val="21"/>
                <w:szCs w:val="21"/>
                <w:lang w:val="en-US" w:eastAsia="zh-CN"/>
              </w:rPr>
              <w:t>6cm</w:t>
            </w:r>
            <w:r>
              <w:rPr>
                <w:rFonts w:cs="宋体"/>
                <w:sz w:val="21"/>
                <w:szCs w:val="21"/>
                <w:vertAlign w:val="superscript"/>
                <w:lang w:val="en-US" w:eastAsia="zh-CN"/>
              </w:rPr>
              <w:t>2</w:t>
            </w:r>
            <w:r>
              <w:rPr>
                <w:rFonts w:hint="eastAsia" w:cs="宋体"/>
                <w:sz w:val="21"/>
                <w:szCs w:val="21"/>
                <w:lang w:val="en-US" w:eastAsia="zh-CN"/>
              </w:rPr>
              <w:t>或面部线条状瘢痕大于等于</w:t>
            </w:r>
            <w:r>
              <w:rPr>
                <w:rFonts w:cs="宋体"/>
                <w:sz w:val="21"/>
                <w:szCs w:val="21"/>
                <w:lang w:val="en-US" w:eastAsia="zh-CN"/>
              </w:rPr>
              <w:t>10cm</w:t>
            </w:r>
          </w:p>
        </w:tc>
        <w:tc>
          <w:tcPr>
            <w:tcW w:w="1043" w:type="dxa"/>
            <w:shd w:val="clear" w:color="auto" w:fill="auto"/>
            <w:vAlign w:val="center"/>
          </w:tcPr>
          <w:p>
            <w:pPr>
              <w:pStyle w:val="46"/>
              <w:jc w:val="center"/>
              <w:rPr>
                <w:rFonts w:cs="宋体"/>
                <w:color w:val="000000"/>
                <w:sz w:val="21"/>
                <w:szCs w:val="21"/>
                <w:lang w:val="en-US" w:eastAsia="zh-CN"/>
              </w:rPr>
            </w:pPr>
            <w:r>
              <w:rPr>
                <w:rFonts w:cs="宋体"/>
                <w:color w:val="000000"/>
                <w:sz w:val="21"/>
                <w:szCs w:val="21"/>
                <w:lang w:val="en-US" w:eastAsia="zh-CN"/>
              </w:rPr>
              <w:t>10级</w:t>
            </w:r>
          </w:p>
        </w:tc>
      </w:tr>
    </w:tbl>
    <w:p>
      <w:pPr>
        <w:pStyle w:val="44"/>
        <w:ind w:left="2"/>
        <w:rPr>
          <w:rFonts w:ascii="宋体" w:hAnsi="宋体" w:eastAsia="宋体"/>
          <w:sz w:val="21"/>
          <w:szCs w:val="21"/>
        </w:rPr>
      </w:pPr>
      <w:r>
        <w:rPr>
          <w:rFonts w:hint="eastAsia" w:ascii="宋体" w:hAnsi="宋体" w:eastAsia="宋体"/>
          <w:sz w:val="21"/>
          <w:szCs w:val="21"/>
        </w:rPr>
        <w:t>注：</w:t>
      </w: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瘢痕：指创面愈合后的增生性瘢痕，不包括皮肤平整、无明显质地改变的萎缩性瘢痕或疤痕。</w:t>
      </w:r>
    </w:p>
    <w:p>
      <w:pPr>
        <w:pStyle w:val="44"/>
        <w:ind w:firstLine="418"/>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面部的范围和瘢痕面积的计算：面部的范围指上至发际、下至下颌下缘、两侧至下颌支后缘之间的区域，包括额部、眼部、眶部、鼻部、口唇部、颏部、颧部、颊部和腮腺咬肌部。面部瘢痕面积的计算采用全面部和</w:t>
      </w:r>
      <w:r>
        <w:rPr>
          <w:rFonts w:ascii="宋体" w:hAnsi="宋体" w:eastAsia="宋体"/>
          <w:sz w:val="21"/>
          <w:szCs w:val="21"/>
        </w:rPr>
        <w:t>5等分面部以及实测瘢痕面积的方法，分别计算瘢痕面积。面部多处瘢痕，其面积可以累加计算。</w:t>
      </w:r>
    </w:p>
    <w:p>
      <w:pPr>
        <w:pStyle w:val="44"/>
        <w:ind w:firstLine="42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颈前三角区：两边为胸锁乳突肌前缘，底为舌骨体上缘及下颌骨下缘。</w:t>
      </w:r>
    </w:p>
    <w:p>
      <w:pPr>
        <w:ind w:firstLine="420"/>
        <w:contextualSpacing/>
        <w:rPr>
          <w:rFonts w:ascii="宋体" w:hAnsi="宋体"/>
          <w:szCs w:val="21"/>
        </w:rPr>
      </w:pPr>
    </w:p>
    <w:p>
      <w:pPr>
        <w:pStyle w:val="4"/>
        <w:numPr>
          <w:ilvl w:val="1"/>
          <w:numId w:val="1"/>
        </w:numPr>
        <w:ind w:left="0" w:firstLine="0"/>
        <w:contextualSpacing/>
        <w:rPr>
          <w:sz w:val="21"/>
          <w:szCs w:val="21"/>
        </w:rPr>
      </w:pPr>
      <w:bookmarkStart w:id="68" w:name="_Toc356463503"/>
      <w:r>
        <w:rPr>
          <w:rFonts w:hint="eastAsia"/>
          <w:sz w:val="21"/>
          <w:szCs w:val="21"/>
        </w:rPr>
        <w:t>各部位皮肤结构损伤和修复功能障碍</w:t>
      </w:r>
      <w:bookmarkEnd w:id="68"/>
    </w:p>
    <w:p>
      <w:pPr>
        <w:ind w:firstLine="420"/>
        <w:contextualSpacing/>
        <w:rPr>
          <w:rFonts w:ascii="宋体" w:hAnsi="宋体"/>
          <w:szCs w:val="21"/>
        </w:rPr>
      </w:pPr>
    </w:p>
    <w:tbl>
      <w:tblPr>
        <w:tblStyle w:val="18"/>
        <w:tblW w:w="8288" w:type="dxa"/>
        <w:tblInd w:w="93" w:type="dxa"/>
        <w:tblLayout w:type="autofit"/>
        <w:tblCellMar>
          <w:top w:w="0" w:type="dxa"/>
          <w:left w:w="108" w:type="dxa"/>
          <w:bottom w:w="0" w:type="dxa"/>
          <w:right w:w="108" w:type="dxa"/>
        </w:tblCellMar>
      </w:tblPr>
      <w:tblGrid>
        <w:gridCol w:w="7245"/>
        <w:gridCol w:w="1043"/>
      </w:tblGrid>
      <w:tr>
        <w:tblPrEx>
          <w:tblCellMar>
            <w:top w:w="0" w:type="dxa"/>
            <w:left w:w="108" w:type="dxa"/>
            <w:bottom w:w="0" w:type="dxa"/>
            <w:right w:w="108" w:type="dxa"/>
          </w:tblCellMar>
        </w:tblPrEx>
        <w:trPr>
          <w:trHeight w:val="64" w:hRule="atLeast"/>
        </w:trPr>
        <w:tc>
          <w:tcPr>
            <w:tcW w:w="7245" w:type="dxa"/>
            <w:tcBorders>
              <w:top w:val="single" w:color="auto" w:sz="4" w:space="0"/>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皮肤损伤导致瘢痕形成，且瘢痕面积大于等于全身体表面积的</w:t>
            </w:r>
            <w:r>
              <w:rPr>
                <w:rFonts w:cs="宋体"/>
                <w:sz w:val="21"/>
                <w:szCs w:val="21"/>
                <w:lang w:val="en-US" w:eastAsia="zh-CN"/>
              </w:rPr>
              <w:t>90%</w:t>
            </w:r>
          </w:p>
        </w:tc>
        <w:tc>
          <w:tcPr>
            <w:tcW w:w="1043" w:type="dxa"/>
            <w:tcBorders>
              <w:top w:val="single" w:color="auto" w:sz="4" w:space="0"/>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1级</w:t>
            </w:r>
          </w:p>
        </w:tc>
      </w:tr>
      <w:tr>
        <w:tblPrEx>
          <w:tblCellMar>
            <w:top w:w="0" w:type="dxa"/>
            <w:left w:w="108" w:type="dxa"/>
            <w:bottom w:w="0" w:type="dxa"/>
            <w:right w:w="108" w:type="dxa"/>
          </w:tblCellMar>
        </w:tblPrEx>
        <w:trPr>
          <w:trHeight w:val="119" w:hRule="atLeast"/>
        </w:trPr>
        <w:tc>
          <w:tcPr>
            <w:tcW w:w="7245"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躯干及四肢</w:t>
            </w:r>
            <w:r>
              <w:rPr>
                <w:rFonts w:cs="宋体"/>
                <w:sz w:val="21"/>
                <w:szCs w:val="21"/>
                <w:lang w:val="en-US" w:eastAsia="zh-CN"/>
              </w:rPr>
              <w:t>III度烧伤，面积大于等于全身皮肤面积的</w:t>
            </w:r>
            <w:r>
              <w:rPr>
                <w:rFonts w:hint="eastAsia" w:cs="宋体"/>
                <w:sz w:val="21"/>
                <w:szCs w:val="21"/>
                <w:lang w:val="en-US" w:eastAsia="zh-CN"/>
              </w:rPr>
              <w:t>6</w:t>
            </w:r>
            <w:r>
              <w:rPr>
                <w:rFonts w:cs="宋体"/>
                <w:sz w:val="21"/>
                <w:szCs w:val="21"/>
                <w:lang w:val="en-US" w:eastAsia="zh-CN"/>
              </w:rPr>
              <w:t>0%</w:t>
            </w:r>
          </w:p>
        </w:tc>
        <w:tc>
          <w:tcPr>
            <w:tcW w:w="1043" w:type="dxa"/>
            <w:tcBorders>
              <w:top w:val="single" w:color="auto" w:sz="4" w:space="0"/>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1级</w:t>
            </w:r>
          </w:p>
        </w:tc>
      </w:tr>
      <w:tr>
        <w:tblPrEx>
          <w:tblCellMar>
            <w:top w:w="0" w:type="dxa"/>
            <w:left w:w="108" w:type="dxa"/>
            <w:bottom w:w="0" w:type="dxa"/>
            <w:right w:w="108" w:type="dxa"/>
          </w:tblCellMar>
        </w:tblPrEx>
        <w:trPr>
          <w:trHeight w:val="196" w:hRule="atLeast"/>
        </w:trPr>
        <w:tc>
          <w:tcPr>
            <w:tcW w:w="7245"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皮肤损伤导致瘢痕形成，且瘢痕面积大于等于全身体表面积的</w:t>
            </w:r>
            <w:r>
              <w:rPr>
                <w:rFonts w:cs="宋体"/>
                <w:sz w:val="21"/>
                <w:szCs w:val="21"/>
                <w:lang w:val="en-US" w:eastAsia="zh-CN"/>
              </w:rPr>
              <w:t>80%</w:t>
            </w:r>
          </w:p>
        </w:tc>
        <w:tc>
          <w:tcPr>
            <w:tcW w:w="1043" w:type="dxa"/>
            <w:tcBorders>
              <w:top w:val="nil"/>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2级</w:t>
            </w:r>
          </w:p>
        </w:tc>
      </w:tr>
      <w:tr>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皮肤损伤导致瘢痕形成，且瘢痕面积大于等于全身体表面积的</w:t>
            </w:r>
            <w:r>
              <w:rPr>
                <w:rFonts w:cs="宋体"/>
                <w:sz w:val="21"/>
                <w:szCs w:val="21"/>
                <w:lang w:val="en-US" w:eastAsia="zh-CN"/>
              </w:rPr>
              <w:t>70%</w:t>
            </w:r>
          </w:p>
        </w:tc>
        <w:tc>
          <w:tcPr>
            <w:tcW w:w="1043" w:type="dxa"/>
            <w:tcBorders>
              <w:top w:val="nil"/>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3级</w:t>
            </w:r>
          </w:p>
        </w:tc>
      </w:tr>
      <w:tr>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躯干及四肢</w:t>
            </w:r>
            <w:r>
              <w:rPr>
                <w:rFonts w:cs="宋体"/>
                <w:sz w:val="21"/>
                <w:szCs w:val="21"/>
                <w:lang w:val="en-US" w:eastAsia="zh-CN"/>
              </w:rPr>
              <w:t>III度烧伤，面积大于等于全身皮肤面积的</w:t>
            </w:r>
            <w:r>
              <w:rPr>
                <w:rFonts w:hint="eastAsia" w:cs="宋体"/>
                <w:sz w:val="21"/>
                <w:szCs w:val="21"/>
                <w:lang w:val="en-US" w:eastAsia="zh-CN"/>
              </w:rPr>
              <w:t>4</w:t>
            </w:r>
            <w:r>
              <w:rPr>
                <w:rFonts w:cs="宋体"/>
                <w:sz w:val="21"/>
                <w:szCs w:val="21"/>
                <w:lang w:val="en-US" w:eastAsia="zh-CN"/>
              </w:rPr>
              <w:t>0%</w:t>
            </w:r>
          </w:p>
        </w:tc>
        <w:tc>
          <w:tcPr>
            <w:tcW w:w="1043" w:type="dxa"/>
            <w:tcBorders>
              <w:top w:val="nil"/>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hint="eastAsia" w:cs="宋体"/>
                <w:sz w:val="21"/>
                <w:szCs w:val="21"/>
                <w:lang w:val="en-US" w:eastAsia="zh-CN"/>
              </w:rPr>
              <w:t>3</w:t>
            </w:r>
            <w:r>
              <w:rPr>
                <w:rFonts w:cs="宋体"/>
                <w:sz w:val="21"/>
                <w:szCs w:val="21"/>
                <w:lang w:val="en-US" w:eastAsia="zh-CN"/>
              </w:rPr>
              <w:t>级</w:t>
            </w:r>
          </w:p>
        </w:tc>
      </w:tr>
      <w:tr>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皮肤损伤导致瘢痕形成，且瘢痕面积大于等于全身体表面积的</w:t>
            </w:r>
            <w:r>
              <w:rPr>
                <w:rFonts w:cs="宋体"/>
                <w:sz w:val="21"/>
                <w:szCs w:val="21"/>
                <w:lang w:val="en-US" w:eastAsia="zh-CN"/>
              </w:rPr>
              <w:t>60%</w:t>
            </w:r>
          </w:p>
        </w:tc>
        <w:tc>
          <w:tcPr>
            <w:tcW w:w="1043" w:type="dxa"/>
            <w:tcBorders>
              <w:top w:val="nil"/>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4级</w:t>
            </w:r>
          </w:p>
        </w:tc>
      </w:tr>
      <w:tr>
        <w:tblPrEx>
          <w:tblCellMar>
            <w:top w:w="0" w:type="dxa"/>
            <w:left w:w="108" w:type="dxa"/>
            <w:bottom w:w="0" w:type="dxa"/>
            <w:right w:w="108" w:type="dxa"/>
          </w:tblCellMar>
        </w:tblPrEx>
        <w:trPr>
          <w:trHeight w:val="255" w:hRule="atLeast"/>
        </w:trPr>
        <w:tc>
          <w:tcPr>
            <w:tcW w:w="7245"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皮肤损伤导致瘢痕形成，且瘢痕面积大于等于全身体表面积的</w:t>
            </w:r>
            <w:r>
              <w:rPr>
                <w:rFonts w:cs="宋体"/>
                <w:sz w:val="21"/>
                <w:szCs w:val="21"/>
                <w:lang w:val="en-US" w:eastAsia="zh-CN"/>
              </w:rPr>
              <w:t>50%</w:t>
            </w:r>
          </w:p>
        </w:tc>
        <w:tc>
          <w:tcPr>
            <w:tcW w:w="1043" w:type="dxa"/>
            <w:tcBorders>
              <w:top w:val="nil"/>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5级</w:t>
            </w:r>
          </w:p>
        </w:tc>
      </w:tr>
      <w:tr>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躯干及四肢</w:t>
            </w:r>
            <w:r>
              <w:rPr>
                <w:rFonts w:cs="宋体"/>
                <w:sz w:val="21"/>
                <w:szCs w:val="21"/>
                <w:lang w:val="en-US" w:eastAsia="zh-CN"/>
              </w:rPr>
              <w:t>III度烧伤，面积大于等于全身皮肤面积的</w:t>
            </w:r>
            <w:r>
              <w:rPr>
                <w:rFonts w:hint="eastAsia" w:cs="宋体"/>
                <w:sz w:val="21"/>
                <w:szCs w:val="21"/>
                <w:lang w:val="en-US" w:eastAsia="zh-CN"/>
              </w:rPr>
              <w:t>2</w:t>
            </w:r>
            <w:r>
              <w:rPr>
                <w:rFonts w:cs="宋体"/>
                <w:sz w:val="21"/>
                <w:szCs w:val="21"/>
                <w:lang w:val="en-US" w:eastAsia="zh-CN"/>
              </w:rPr>
              <w:t>0%</w:t>
            </w:r>
          </w:p>
        </w:tc>
        <w:tc>
          <w:tcPr>
            <w:tcW w:w="1043" w:type="dxa"/>
            <w:tcBorders>
              <w:top w:val="nil"/>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hint="eastAsia" w:cs="宋体"/>
                <w:sz w:val="21"/>
                <w:szCs w:val="21"/>
                <w:lang w:val="en-US" w:eastAsia="zh-CN"/>
              </w:rPr>
              <w:t>5</w:t>
            </w:r>
            <w:r>
              <w:rPr>
                <w:rFonts w:cs="宋体"/>
                <w:sz w:val="21"/>
                <w:szCs w:val="21"/>
                <w:lang w:val="en-US" w:eastAsia="zh-CN"/>
              </w:rPr>
              <w:t>级</w:t>
            </w:r>
          </w:p>
        </w:tc>
      </w:tr>
      <w:tr>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皮肤损伤导致瘢痕形成，且瘢痕面积大于等于全身体表面积的</w:t>
            </w:r>
            <w:r>
              <w:rPr>
                <w:rFonts w:cs="宋体"/>
                <w:sz w:val="21"/>
                <w:szCs w:val="21"/>
                <w:lang w:val="en-US" w:eastAsia="zh-CN"/>
              </w:rPr>
              <w:t>40%</w:t>
            </w:r>
          </w:p>
        </w:tc>
        <w:tc>
          <w:tcPr>
            <w:tcW w:w="1043" w:type="dxa"/>
            <w:tcBorders>
              <w:top w:val="nil"/>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6级</w:t>
            </w:r>
          </w:p>
        </w:tc>
      </w:tr>
      <w:tr>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腹部损伤导致腹壁缺损面积大于等于腹壁面积的</w:t>
            </w:r>
            <w:r>
              <w:rPr>
                <w:rFonts w:cs="宋体"/>
                <w:sz w:val="21"/>
                <w:szCs w:val="21"/>
                <w:lang w:val="en-US" w:eastAsia="zh-CN"/>
              </w:rPr>
              <w:t>25%</w:t>
            </w:r>
          </w:p>
        </w:tc>
        <w:tc>
          <w:tcPr>
            <w:tcW w:w="1043" w:type="dxa"/>
            <w:tcBorders>
              <w:top w:val="nil"/>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6级</w:t>
            </w:r>
          </w:p>
        </w:tc>
      </w:tr>
      <w:tr>
        <w:tblPrEx>
          <w:tblCellMar>
            <w:top w:w="0" w:type="dxa"/>
            <w:left w:w="108" w:type="dxa"/>
            <w:bottom w:w="0" w:type="dxa"/>
            <w:right w:w="108" w:type="dxa"/>
          </w:tblCellMar>
        </w:tblPrEx>
        <w:trPr>
          <w:trHeight w:val="227" w:hRule="atLeast"/>
        </w:trPr>
        <w:tc>
          <w:tcPr>
            <w:tcW w:w="7245"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皮肤损伤导致瘢痕形成，且瘢痕面积大于等于全身体表面积的</w:t>
            </w:r>
            <w:r>
              <w:rPr>
                <w:rFonts w:cs="宋体"/>
                <w:sz w:val="21"/>
                <w:szCs w:val="21"/>
                <w:lang w:val="en-US" w:eastAsia="zh-CN"/>
              </w:rPr>
              <w:t>30%</w:t>
            </w:r>
          </w:p>
        </w:tc>
        <w:tc>
          <w:tcPr>
            <w:tcW w:w="1043" w:type="dxa"/>
            <w:tcBorders>
              <w:top w:val="nil"/>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7级</w:t>
            </w:r>
          </w:p>
        </w:tc>
      </w:tr>
      <w:tr>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躯干及四肢</w:t>
            </w:r>
            <w:r>
              <w:rPr>
                <w:rFonts w:cs="宋体"/>
                <w:sz w:val="21"/>
                <w:szCs w:val="21"/>
                <w:lang w:val="en-US" w:eastAsia="zh-CN"/>
              </w:rPr>
              <w:t>III度烧伤，面积大于等于全身皮肤面积的</w:t>
            </w:r>
            <w:r>
              <w:rPr>
                <w:rFonts w:hint="eastAsia" w:cs="宋体"/>
                <w:sz w:val="21"/>
                <w:szCs w:val="21"/>
                <w:lang w:val="en-US" w:eastAsia="zh-CN"/>
              </w:rPr>
              <w:t>1</w:t>
            </w:r>
            <w:r>
              <w:rPr>
                <w:rFonts w:cs="宋体"/>
                <w:sz w:val="21"/>
                <w:szCs w:val="21"/>
                <w:lang w:val="en-US" w:eastAsia="zh-CN"/>
              </w:rPr>
              <w:t>0%</w:t>
            </w:r>
          </w:p>
        </w:tc>
        <w:tc>
          <w:tcPr>
            <w:tcW w:w="1043" w:type="dxa"/>
            <w:tcBorders>
              <w:top w:val="nil"/>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hint="eastAsia" w:cs="宋体"/>
                <w:sz w:val="21"/>
                <w:szCs w:val="21"/>
                <w:lang w:val="en-US" w:eastAsia="zh-CN"/>
              </w:rPr>
              <w:t>7</w:t>
            </w:r>
            <w:r>
              <w:rPr>
                <w:rFonts w:cs="宋体"/>
                <w:sz w:val="21"/>
                <w:szCs w:val="21"/>
                <w:lang w:val="en-US" w:eastAsia="zh-CN"/>
              </w:rPr>
              <w:t>级</w:t>
            </w:r>
          </w:p>
        </w:tc>
      </w:tr>
      <w:tr>
        <w:tblPrEx>
          <w:tblCellMar>
            <w:top w:w="0" w:type="dxa"/>
            <w:left w:w="108" w:type="dxa"/>
            <w:bottom w:w="0" w:type="dxa"/>
            <w:right w:w="108" w:type="dxa"/>
          </w:tblCellMar>
        </w:tblPrEx>
        <w:trPr>
          <w:trHeight w:val="177" w:hRule="atLeast"/>
        </w:trPr>
        <w:tc>
          <w:tcPr>
            <w:tcW w:w="7245"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皮肤损伤导致瘢痕形成，且瘢痕面积大于等于全身体表面积的</w:t>
            </w:r>
            <w:r>
              <w:rPr>
                <w:rFonts w:cs="宋体"/>
                <w:sz w:val="21"/>
                <w:szCs w:val="21"/>
                <w:lang w:val="en-US" w:eastAsia="zh-CN"/>
              </w:rPr>
              <w:t>20%</w:t>
            </w:r>
          </w:p>
        </w:tc>
        <w:tc>
          <w:tcPr>
            <w:tcW w:w="1043" w:type="dxa"/>
            <w:tcBorders>
              <w:top w:val="nil"/>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8级</w:t>
            </w:r>
          </w:p>
        </w:tc>
      </w:tr>
      <w:tr>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46"/>
              <w:rPr>
                <w:rFonts w:cs="宋体"/>
                <w:sz w:val="21"/>
                <w:szCs w:val="21"/>
                <w:lang w:val="en-US" w:eastAsia="zh-CN"/>
              </w:rPr>
            </w:pPr>
            <w:r>
              <w:rPr>
                <w:rFonts w:hint="eastAsia" w:cs="宋体"/>
                <w:sz w:val="21"/>
                <w:szCs w:val="21"/>
                <w:lang w:val="en-US" w:eastAsia="zh-CN"/>
              </w:rPr>
              <w:t>皮肤损伤导致瘢痕形成，且瘢痕面积大于等于全身体表面积的</w:t>
            </w:r>
            <w:r>
              <w:rPr>
                <w:rFonts w:cs="宋体"/>
                <w:sz w:val="21"/>
                <w:szCs w:val="21"/>
                <w:lang w:val="en-US" w:eastAsia="zh-CN"/>
              </w:rPr>
              <w:t>5%</w:t>
            </w:r>
          </w:p>
        </w:tc>
        <w:tc>
          <w:tcPr>
            <w:tcW w:w="1043" w:type="dxa"/>
            <w:tcBorders>
              <w:top w:val="nil"/>
              <w:left w:val="nil"/>
              <w:bottom w:val="single" w:color="auto" w:sz="4" w:space="0"/>
              <w:right w:val="single" w:color="auto" w:sz="4" w:space="0"/>
            </w:tcBorders>
            <w:shd w:val="clear" w:color="auto" w:fill="auto"/>
            <w:vAlign w:val="center"/>
          </w:tcPr>
          <w:p>
            <w:pPr>
              <w:pStyle w:val="46"/>
              <w:jc w:val="center"/>
              <w:rPr>
                <w:rFonts w:cs="宋体"/>
                <w:sz w:val="21"/>
                <w:szCs w:val="21"/>
                <w:lang w:val="en-US" w:eastAsia="zh-CN"/>
              </w:rPr>
            </w:pPr>
            <w:r>
              <w:rPr>
                <w:rFonts w:cs="宋体"/>
                <w:sz w:val="21"/>
                <w:szCs w:val="21"/>
                <w:lang w:val="en-US" w:eastAsia="zh-CN"/>
              </w:rPr>
              <w:t>9级</w:t>
            </w:r>
          </w:p>
        </w:tc>
      </w:tr>
    </w:tbl>
    <w:p>
      <w:pPr>
        <w:pStyle w:val="44"/>
        <w:ind w:left="2"/>
        <w:rPr>
          <w:rFonts w:ascii="宋体" w:hAnsi="宋体" w:eastAsia="宋体"/>
          <w:sz w:val="21"/>
          <w:szCs w:val="21"/>
        </w:rPr>
      </w:pPr>
      <w:r>
        <w:rPr>
          <w:rFonts w:hint="eastAsia" w:ascii="宋体" w:hAnsi="宋体" w:eastAsia="宋体"/>
          <w:sz w:val="21"/>
          <w:szCs w:val="21"/>
        </w:rPr>
        <w:t>注：</w:t>
      </w: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全身皮肤瘢痕面积的计算：按皮肤瘢痕面积占全身体表面积的百分数来计算，即中国新九分法：在</w:t>
      </w:r>
      <w:r>
        <w:rPr>
          <w:rFonts w:ascii="宋体" w:hAnsi="宋体" w:eastAsia="宋体"/>
          <w:sz w:val="21"/>
          <w:szCs w:val="21"/>
        </w:rPr>
        <w:t>100%的体表总面积中：头颈部占9%（9×1）（头部、面部、颈部各占3%）；双上肢占18%（9×2）（双上臂7%，双前臂6%，双手5%）；躯干前后包括会阴占27%（9×3）（前躯13%，后躯13%，会阴1%）；双下肢（含臀部）占46%（双臀5%，双大腿21%，双小腿13%，双足7%）（9×5+1）（女性双足和臀各占6%）。</w:t>
      </w:r>
    </w:p>
    <w:p>
      <w:pPr>
        <w:pStyle w:val="44"/>
        <w:ind w:firstLine="418"/>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烧伤面积和烧伤深度：烧伤面积的计算按中国新九分法，烧伤深度按三度四分法。</w:t>
      </w:r>
      <w:r>
        <w:rPr>
          <w:rFonts w:ascii="宋体" w:hAnsi="宋体" w:eastAsia="宋体"/>
          <w:sz w:val="21"/>
          <w:szCs w:val="21"/>
        </w:rPr>
        <w:t>III度烧伤指烧伤深达皮肤</w:t>
      </w:r>
      <w:r>
        <w:rPr>
          <w:rFonts w:hint="eastAsia" w:ascii="宋体" w:hAnsi="宋体" w:eastAsia="宋体"/>
          <w:sz w:val="21"/>
          <w:szCs w:val="21"/>
        </w:rPr>
        <w:t>全层甚至达到皮下、肌肉和骨骼。烧伤事故不包括冻伤、吸入性损伤（又称呼吸道烧伤）和电击伤。烧伤后按烧伤面积、深度评定伤残等级，待医疗终结后，可以依据造成的功能障碍程度、皮肤瘢痕面积大小评定伤残等级，最终的伤残等级以严重者为准。</w:t>
      </w:r>
    </w:p>
    <w:p>
      <w:pPr>
        <w:ind w:firstLine="420"/>
        <w:contextualSpacing/>
        <w:rPr>
          <w:rFonts w:ascii="宋体" w:hAnsi="宋体"/>
          <w:szCs w:val="21"/>
        </w:rPr>
      </w:pPr>
    </w:p>
    <w:p>
      <w:pPr>
        <w:ind w:firstLine="420"/>
        <w:contextualSpacing/>
        <w:rPr>
          <w:rFonts w:ascii="宋体" w:hAnsi="宋体"/>
          <w:szCs w:val="21"/>
        </w:rPr>
      </w:pPr>
    </w:p>
    <w:p>
      <w:pPr>
        <w:ind w:firstLine="420"/>
        <w:contextualSpacing/>
        <w:rPr>
          <w:rFonts w:ascii="宋体" w:hAnsi="宋体"/>
          <w:szCs w:val="21"/>
        </w:rPr>
      </w:pPr>
    </w:p>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Futura Bk">
    <w:altName w:val="Century Gothic"/>
    <w:panose1 w:val="00000000000000000000"/>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t xml:space="preserve"> </w: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14</w:t>
    </w:r>
    <w: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74E5B"/>
    <w:multiLevelType w:val="multilevel"/>
    <w:tmpl w:val="20B74E5B"/>
    <w:lvl w:ilvl="0" w:tentative="0">
      <w:start w:val="1"/>
      <w:numFmt w:val="decimal"/>
      <w:lvlText w:val="%1"/>
      <w:lvlJc w:val="left"/>
      <w:pPr>
        <w:ind w:left="425" w:hanging="425"/>
      </w:pPr>
    </w:lvl>
    <w:lvl w:ilvl="1" w:tentative="0">
      <w:start w:val="1"/>
      <w:numFmt w:val="decimal"/>
      <w:lvlText w:val="%1.%2"/>
      <w:lvlJc w:val="left"/>
      <w:pPr>
        <w:ind w:left="993"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2E"/>
    <w:rsid w:val="002215B5"/>
    <w:rsid w:val="00476B2E"/>
    <w:rsid w:val="00881561"/>
    <w:rsid w:val="00E31E41"/>
    <w:rsid w:val="6C544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5"/>
    <w:qFormat/>
    <w:uiPriority w:val="9"/>
    <w:pPr>
      <w:keepNext/>
      <w:keepLines/>
      <w:widowControl/>
      <w:spacing w:before="340" w:after="330" w:line="578" w:lineRule="auto"/>
      <w:jc w:val="left"/>
      <w:outlineLvl w:val="0"/>
    </w:pPr>
    <w:rPr>
      <w:rFonts w:ascii="宋体" w:hAnsi="宋体" w:eastAsia="黑体" w:cs="宋体"/>
      <w:b/>
      <w:bCs/>
      <w:kern w:val="44"/>
      <w:sz w:val="48"/>
      <w:szCs w:val="44"/>
    </w:rPr>
  </w:style>
  <w:style w:type="paragraph" w:styleId="3">
    <w:name w:val="heading 2"/>
    <w:basedOn w:val="1"/>
    <w:next w:val="1"/>
    <w:link w:val="26"/>
    <w:unhideWhenUsed/>
    <w:qFormat/>
    <w:uiPriority w:val="9"/>
    <w:pPr>
      <w:widowControl/>
      <w:jc w:val="left"/>
      <w:outlineLvl w:val="1"/>
    </w:pPr>
    <w:rPr>
      <w:rFonts w:ascii="Cambria" w:hAnsi="Cambria"/>
      <w:b/>
      <w:bCs/>
      <w:kern w:val="0"/>
      <w:sz w:val="28"/>
      <w:szCs w:val="32"/>
    </w:rPr>
  </w:style>
  <w:style w:type="paragraph" w:styleId="4">
    <w:name w:val="heading 3"/>
    <w:basedOn w:val="1"/>
    <w:next w:val="1"/>
    <w:link w:val="27"/>
    <w:unhideWhenUsed/>
    <w:qFormat/>
    <w:uiPriority w:val="9"/>
    <w:pPr>
      <w:widowControl/>
      <w:jc w:val="left"/>
      <w:outlineLvl w:val="2"/>
    </w:pPr>
    <w:rPr>
      <w:rFonts w:ascii="宋体" w:hAnsi="宋体" w:cs="宋体"/>
      <w:b/>
      <w:bCs/>
      <w:kern w:val="0"/>
      <w:sz w:val="28"/>
      <w:szCs w:val="32"/>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8"/>
    <w:uiPriority w:val="0"/>
    <w:pPr>
      <w:jc w:val="left"/>
    </w:pPr>
  </w:style>
  <w:style w:type="paragraph" w:styleId="6">
    <w:name w:val="Body Text 3"/>
    <w:basedOn w:val="1"/>
    <w:link w:val="40"/>
    <w:uiPriority w:val="0"/>
    <w:pPr>
      <w:spacing w:after="120"/>
    </w:pPr>
    <w:rPr>
      <w:sz w:val="16"/>
    </w:rPr>
  </w:style>
  <w:style w:type="paragraph" w:styleId="7">
    <w:name w:val="Body Text"/>
    <w:basedOn w:val="1"/>
    <w:link w:val="42"/>
    <w:uiPriority w:val="0"/>
    <w:pPr>
      <w:jc w:val="center"/>
    </w:pPr>
    <w:rPr>
      <w:rFonts w:ascii="仿宋_GB2312" w:eastAsia="仿宋_GB2312"/>
      <w:b/>
      <w:sz w:val="24"/>
    </w:rPr>
  </w:style>
  <w:style w:type="paragraph" w:styleId="8">
    <w:name w:val="toc 3"/>
    <w:basedOn w:val="1"/>
    <w:next w:val="1"/>
    <w:unhideWhenUsed/>
    <w:uiPriority w:val="39"/>
    <w:pPr>
      <w:widowControl/>
      <w:tabs>
        <w:tab w:val="left" w:pos="1418"/>
        <w:tab w:val="right" w:leader="dot" w:pos="8296"/>
      </w:tabs>
      <w:ind w:left="848" w:leftChars="303" w:firstLine="3" w:firstLineChars="1"/>
      <w:jc w:val="left"/>
    </w:pPr>
    <w:rPr>
      <w:rFonts w:ascii="宋体" w:hAnsi="宋体" w:cs="宋体"/>
      <w:kern w:val="0"/>
      <w:sz w:val="28"/>
      <w:szCs w:val="24"/>
    </w:rPr>
  </w:style>
  <w:style w:type="paragraph" w:styleId="9">
    <w:name w:val="Date"/>
    <w:basedOn w:val="1"/>
    <w:next w:val="1"/>
    <w:link w:val="36"/>
    <w:uiPriority w:val="0"/>
    <w:pPr>
      <w:ind w:left="100" w:leftChars="2500"/>
    </w:pPr>
  </w:style>
  <w:style w:type="paragraph" w:styleId="10">
    <w:name w:val="Balloon Text"/>
    <w:basedOn w:val="1"/>
    <w:link w:val="30"/>
    <w:uiPriority w:val="99"/>
    <w:rPr>
      <w:sz w:val="18"/>
      <w:lang w:val="zh-CN" w:eastAsia="zh-CN"/>
    </w:rPr>
  </w:style>
  <w:style w:type="paragraph" w:styleId="11">
    <w:name w:val="footer"/>
    <w:basedOn w:val="1"/>
    <w:link w:val="24"/>
    <w:unhideWhenUsed/>
    <w:uiPriority w:val="99"/>
    <w:pPr>
      <w:tabs>
        <w:tab w:val="center" w:pos="4153"/>
        <w:tab w:val="right" w:pos="8306"/>
      </w:tabs>
      <w:snapToGrid w:val="0"/>
      <w:jc w:val="left"/>
    </w:pPr>
    <w:rPr>
      <w:sz w:val="18"/>
      <w:szCs w:val="18"/>
    </w:rPr>
  </w:style>
  <w:style w:type="paragraph" w:styleId="12">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uiPriority w:val="39"/>
    <w:pPr>
      <w:widowControl/>
      <w:jc w:val="left"/>
    </w:pPr>
    <w:rPr>
      <w:rFonts w:ascii="宋体" w:hAnsi="宋体" w:cs="宋体"/>
      <w:kern w:val="0"/>
      <w:sz w:val="28"/>
      <w:szCs w:val="24"/>
    </w:rPr>
  </w:style>
  <w:style w:type="paragraph" w:styleId="14">
    <w:name w:val="toc 2"/>
    <w:basedOn w:val="1"/>
    <w:next w:val="1"/>
    <w:unhideWhenUsed/>
    <w:uiPriority w:val="39"/>
    <w:pPr>
      <w:widowControl/>
      <w:tabs>
        <w:tab w:val="left" w:pos="851"/>
        <w:tab w:val="right" w:leader="dot" w:pos="8296"/>
      </w:tabs>
      <w:ind w:left="560" w:leftChars="200"/>
      <w:jc w:val="left"/>
    </w:pPr>
    <w:rPr>
      <w:rFonts w:ascii="宋体" w:hAnsi="宋体" w:cs="宋体"/>
      <w:kern w:val="0"/>
      <w:sz w:val="28"/>
      <w:szCs w:val="24"/>
    </w:rPr>
  </w:style>
  <w:style w:type="paragraph" w:styleId="15">
    <w:name w:val="HTML Preformatted"/>
    <w:basedOn w:val="1"/>
    <w:link w:val="3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rPr>
  </w:style>
  <w:style w:type="paragraph" w:styleId="16">
    <w:name w:val="Title"/>
    <w:basedOn w:val="1"/>
    <w:next w:val="1"/>
    <w:link w:val="29"/>
    <w:qFormat/>
    <w:uiPriority w:val="0"/>
    <w:pPr>
      <w:spacing w:before="240" w:after="60"/>
      <w:jc w:val="center"/>
      <w:outlineLvl w:val="0"/>
    </w:pPr>
    <w:rPr>
      <w:rFonts w:ascii="Cambria" w:hAnsi="Cambria"/>
      <w:b/>
      <w:sz w:val="32"/>
    </w:rPr>
  </w:style>
  <w:style w:type="paragraph" w:styleId="17">
    <w:name w:val="annotation subject"/>
    <w:basedOn w:val="5"/>
    <w:next w:val="5"/>
    <w:link w:val="41"/>
    <w:uiPriority w:val="0"/>
    <w:rPr>
      <w:b/>
    </w:rPr>
  </w:style>
  <w:style w:type="character" w:styleId="20">
    <w:name w:val="FollowedHyperlink"/>
    <w:basedOn w:val="19"/>
    <w:semiHidden/>
    <w:unhideWhenUsed/>
    <w:uiPriority w:val="99"/>
    <w:rPr>
      <w:color w:val="954F72" w:themeColor="followedHyperlink"/>
      <w:u w:val="single"/>
      <w14:textFill>
        <w14:solidFill>
          <w14:schemeClr w14:val="folHlink"/>
        </w14:solidFill>
      </w14:textFill>
    </w:rPr>
  </w:style>
  <w:style w:type="character" w:styleId="21">
    <w:name w:val="Hyperlink"/>
    <w:unhideWhenUsed/>
    <w:uiPriority w:val="99"/>
    <w:rPr>
      <w:color w:val="0000FF"/>
      <w:u w:val="single"/>
    </w:rPr>
  </w:style>
  <w:style w:type="character" w:styleId="22">
    <w:name w:val="annotation reference"/>
    <w:uiPriority w:val="0"/>
    <w:rPr>
      <w:sz w:val="21"/>
    </w:rPr>
  </w:style>
  <w:style w:type="character" w:customStyle="1" w:styleId="23">
    <w:name w:val="页眉 Char"/>
    <w:basedOn w:val="19"/>
    <w:link w:val="12"/>
    <w:uiPriority w:val="99"/>
    <w:rPr>
      <w:sz w:val="18"/>
      <w:szCs w:val="18"/>
    </w:rPr>
  </w:style>
  <w:style w:type="character" w:customStyle="1" w:styleId="24">
    <w:name w:val="页脚 Char"/>
    <w:basedOn w:val="19"/>
    <w:link w:val="11"/>
    <w:uiPriority w:val="99"/>
    <w:rPr>
      <w:sz w:val="18"/>
      <w:szCs w:val="18"/>
    </w:rPr>
  </w:style>
  <w:style w:type="character" w:customStyle="1" w:styleId="25">
    <w:name w:val="标题 1 Char"/>
    <w:basedOn w:val="19"/>
    <w:link w:val="2"/>
    <w:uiPriority w:val="9"/>
    <w:rPr>
      <w:rFonts w:ascii="宋体" w:hAnsi="宋体" w:eastAsia="黑体" w:cs="宋体"/>
      <w:b/>
      <w:bCs/>
      <w:kern w:val="44"/>
      <w:sz w:val="48"/>
      <w:szCs w:val="44"/>
    </w:rPr>
  </w:style>
  <w:style w:type="character" w:customStyle="1" w:styleId="26">
    <w:name w:val="标题 2 Char"/>
    <w:basedOn w:val="19"/>
    <w:link w:val="3"/>
    <w:uiPriority w:val="9"/>
    <w:rPr>
      <w:rFonts w:ascii="Cambria" w:hAnsi="Cambria" w:eastAsia="宋体" w:cs="Times New Roman"/>
      <w:b/>
      <w:bCs/>
      <w:kern w:val="0"/>
      <w:sz w:val="28"/>
      <w:szCs w:val="32"/>
    </w:rPr>
  </w:style>
  <w:style w:type="character" w:customStyle="1" w:styleId="27">
    <w:name w:val="标题 3 Char"/>
    <w:basedOn w:val="19"/>
    <w:link w:val="4"/>
    <w:uiPriority w:val="9"/>
    <w:rPr>
      <w:rFonts w:ascii="宋体" w:hAnsi="宋体" w:eastAsia="宋体" w:cs="宋体"/>
      <w:b/>
      <w:bCs/>
      <w:kern w:val="0"/>
      <w:sz w:val="28"/>
      <w:szCs w:val="32"/>
    </w:rPr>
  </w:style>
  <w:style w:type="character" w:customStyle="1" w:styleId="28">
    <w:name w:val="tf"/>
    <w:basedOn w:val="19"/>
    <w:uiPriority w:val="0"/>
  </w:style>
  <w:style w:type="character" w:customStyle="1" w:styleId="29">
    <w:name w:val="标题 Char"/>
    <w:basedOn w:val="19"/>
    <w:link w:val="16"/>
    <w:uiPriority w:val="0"/>
    <w:rPr>
      <w:rFonts w:ascii="Cambria" w:hAnsi="Cambria" w:eastAsia="宋体" w:cs="Times New Roman"/>
      <w:b/>
      <w:sz w:val="32"/>
      <w:szCs w:val="20"/>
    </w:rPr>
  </w:style>
  <w:style w:type="character" w:customStyle="1" w:styleId="30">
    <w:name w:val="批注框文本 Char"/>
    <w:basedOn w:val="19"/>
    <w:link w:val="10"/>
    <w:uiPriority w:val="99"/>
    <w:rPr>
      <w:rFonts w:ascii="Times New Roman" w:hAnsi="Times New Roman" w:eastAsia="宋体" w:cs="Times New Roman"/>
      <w:sz w:val="18"/>
      <w:szCs w:val="20"/>
      <w:lang w:val="zh-CN" w:eastAsia="zh-CN"/>
    </w:rPr>
  </w:style>
  <w:style w:type="character" w:customStyle="1" w:styleId="31">
    <w:name w:val="HTML 预设格式 Char"/>
    <w:basedOn w:val="19"/>
    <w:link w:val="15"/>
    <w:uiPriority w:val="0"/>
    <w:rPr>
      <w:rFonts w:ascii="Arial Unicode MS" w:hAnsi="Arial Unicode MS" w:eastAsia="Arial Unicode MS" w:cs="Times New Roman"/>
      <w:color w:val="000000"/>
      <w:kern w:val="0"/>
      <w:sz w:val="20"/>
      <w:szCs w:val="20"/>
    </w:rPr>
  </w:style>
  <w:style w:type="paragraph" w:customStyle="1" w:styleId="32">
    <w:name w:val="条款正文"/>
    <w:basedOn w:val="1"/>
    <w:qFormat/>
    <w:uiPriority w:val="0"/>
    <w:pPr>
      <w:adjustRightInd w:val="0"/>
      <w:snapToGrid w:val="0"/>
      <w:ind w:left="840" w:leftChars="400" w:firstLine="420" w:firstLineChars="200"/>
    </w:pPr>
  </w:style>
  <w:style w:type="paragraph" w:customStyle="1" w:styleId="33">
    <w:name w:val=" Char Char Char Char Char Char"/>
    <w:basedOn w:val="1"/>
    <w:uiPriority w:val="0"/>
    <w:pPr>
      <w:widowControl/>
      <w:autoSpaceDE w:val="0"/>
      <w:autoSpaceDN w:val="0"/>
      <w:adjustRightInd w:val="0"/>
      <w:jc w:val="left"/>
    </w:pPr>
    <w:rPr>
      <w:rFonts w:ascii="Futura Bk" w:hAnsi="Futura Bk"/>
      <w:kern w:val="0"/>
      <w:sz w:val="20"/>
      <w:lang w:val="en-GB" w:eastAsia="en-US"/>
    </w:rPr>
  </w:style>
  <w:style w:type="paragraph" w:customStyle="1" w:styleId="34">
    <w:name w:val=" Char Char1 Char Char Char Char"/>
    <w:basedOn w:val="1"/>
    <w:uiPriority w:val="0"/>
    <w:pPr>
      <w:widowControl/>
      <w:autoSpaceDE w:val="0"/>
      <w:autoSpaceDN w:val="0"/>
      <w:adjustRightInd w:val="0"/>
      <w:jc w:val="left"/>
    </w:pPr>
  </w:style>
  <w:style w:type="paragraph" w:customStyle="1" w:styleId="35">
    <w:name w:val=" Char Char"/>
    <w:basedOn w:val="1"/>
    <w:uiPriority w:val="0"/>
    <w:pPr>
      <w:widowControl/>
      <w:autoSpaceDE w:val="0"/>
      <w:autoSpaceDN w:val="0"/>
      <w:adjustRightInd w:val="0"/>
      <w:jc w:val="left"/>
    </w:pPr>
    <w:rPr>
      <w:rFonts w:ascii="Futura Bk" w:hAnsi="Futura Bk"/>
      <w:kern w:val="0"/>
      <w:sz w:val="20"/>
      <w:lang w:val="en-GB" w:eastAsia="en-US"/>
    </w:rPr>
  </w:style>
  <w:style w:type="character" w:customStyle="1" w:styleId="36">
    <w:name w:val="日期 Char"/>
    <w:basedOn w:val="19"/>
    <w:link w:val="9"/>
    <w:uiPriority w:val="0"/>
    <w:rPr>
      <w:rFonts w:ascii="Times New Roman" w:hAnsi="Times New Roman" w:eastAsia="宋体" w:cs="Times New Roman"/>
      <w:szCs w:val="20"/>
    </w:rPr>
  </w:style>
  <w:style w:type="paragraph" w:customStyle="1" w:styleId="37">
    <w:name w:val="Char Char Char"/>
    <w:basedOn w:val="1"/>
    <w:uiPriority w:val="0"/>
    <w:pPr>
      <w:widowControl/>
      <w:autoSpaceDE w:val="0"/>
      <w:autoSpaceDN w:val="0"/>
      <w:adjustRightInd w:val="0"/>
      <w:jc w:val="left"/>
    </w:pPr>
    <w:rPr>
      <w:rFonts w:ascii="Futura Bk" w:hAnsi="Futura Bk"/>
      <w:kern w:val="0"/>
      <w:sz w:val="20"/>
      <w:lang w:val="en-GB" w:eastAsia="en-US"/>
    </w:rPr>
  </w:style>
  <w:style w:type="character" w:customStyle="1" w:styleId="38">
    <w:name w:val="批注文字 Char"/>
    <w:basedOn w:val="19"/>
    <w:link w:val="5"/>
    <w:uiPriority w:val="0"/>
    <w:rPr>
      <w:rFonts w:ascii="Times New Roman" w:hAnsi="Times New Roman" w:eastAsia="宋体" w:cs="Times New Roman"/>
      <w:szCs w:val="20"/>
    </w:rPr>
  </w:style>
  <w:style w:type="paragraph" w:customStyle="1" w:styleId="39">
    <w:name w:val="条款标题"/>
    <w:basedOn w:val="32"/>
    <w:qFormat/>
    <w:uiPriority w:val="0"/>
    <w:pPr>
      <w:tabs>
        <w:tab w:val="left" w:pos="840"/>
      </w:tabs>
      <w:ind w:left="0" w:leftChars="0" w:firstLine="0" w:firstLineChars="0"/>
    </w:pPr>
    <w:rPr>
      <w:b/>
    </w:rPr>
  </w:style>
  <w:style w:type="character" w:customStyle="1" w:styleId="40">
    <w:name w:val="正文文本 3 Char"/>
    <w:basedOn w:val="19"/>
    <w:link w:val="6"/>
    <w:uiPriority w:val="0"/>
    <w:rPr>
      <w:rFonts w:ascii="Times New Roman" w:hAnsi="Times New Roman" w:eastAsia="宋体" w:cs="Times New Roman"/>
      <w:sz w:val="16"/>
      <w:szCs w:val="20"/>
    </w:rPr>
  </w:style>
  <w:style w:type="character" w:customStyle="1" w:styleId="41">
    <w:name w:val="批注主题 Char"/>
    <w:basedOn w:val="38"/>
    <w:link w:val="17"/>
    <w:uiPriority w:val="0"/>
    <w:rPr>
      <w:rFonts w:ascii="Times New Roman" w:hAnsi="Times New Roman" w:eastAsia="宋体" w:cs="Times New Roman"/>
      <w:b/>
      <w:szCs w:val="20"/>
    </w:rPr>
  </w:style>
  <w:style w:type="character" w:customStyle="1" w:styleId="42">
    <w:name w:val="正文文本 Char"/>
    <w:basedOn w:val="19"/>
    <w:link w:val="7"/>
    <w:uiPriority w:val="0"/>
    <w:rPr>
      <w:rFonts w:ascii="仿宋_GB2312" w:hAnsi="Times New Roman" w:eastAsia="仿宋_GB2312" w:cs="Times New Roman"/>
      <w:b/>
      <w:sz w:val="24"/>
      <w:szCs w:val="20"/>
    </w:rPr>
  </w:style>
  <w:style w:type="paragraph" w:styleId="43">
    <w:name w:val="List Paragraph"/>
    <w:basedOn w:val="1"/>
    <w:qFormat/>
    <w:uiPriority w:val="34"/>
    <w:pPr>
      <w:widowControl/>
      <w:ind w:firstLine="420" w:firstLineChars="200"/>
      <w:jc w:val="left"/>
    </w:pPr>
    <w:rPr>
      <w:rFonts w:ascii="宋体" w:hAnsi="宋体" w:cs="宋体"/>
      <w:kern w:val="0"/>
      <w:sz w:val="28"/>
      <w:szCs w:val="24"/>
    </w:rPr>
  </w:style>
  <w:style w:type="paragraph" w:customStyle="1" w:styleId="44">
    <w:name w:val="注解（小四，楷体）"/>
    <w:basedOn w:val="1"/>
    <w:link w:val="45"/>
    <w:qFormat/>
    <w:uiPriority w:val="0"/>
    <w:pPr>
      <w:widowControl/>
      <w:contextualSpacing/>
      <w:jc w:val="left"/>
    </w:pPr>
    <w:rPr>
      <w:rFonts w:ascii="楷体" w:hAnsi="楷体" w:eastAsia="楷体"/>
      <w:kern w:val="0"/>
      <w:sz w:val="24"/>
      <w:szCs w:val="24"/>
      <w:lang w:val="zh-CN" w:eastAsia="zh-CN"/>
    </w:rPr>
  </w:style>
  <w:style w:type="character" w:customStyle="1" w:styleId="45">
    <w:name w:val="注解（小四，楷体） Char"/>
    <w:link w:val="44"/>
    <w:uiPriority w:val="0"/>
    <w:rPr>
      <w:rFonts w:ascii="楷体" w:hAnsi="楷体" w:eastAsia="楷体" w:cs="Times New Roman"/>
      <w:kern w:val="0"/>
      <w:sz w:val="24"/>
      <w:szCs w:val="24"/>
      <w:lang w:val="zh-CN" w:eastAsia="zh-CN"/>
    </w:rPr>
  </w:style>
  <w:style w:type="paragraph" w:customStyle="1" w:styleId="46">
    <w:name w:val="表格（小四，宋体）"/>
    <w:basedOn w:val="1"/>
    <w:link w:val="47"/>
    <w:qFormat/>
    <w:uiPriority w:val="0"/>
    <w:pPr>
      <w:widowControl/>
      <w:contextualSpacing/>
      <w:jc w:val="left"/>
    </w:pPr>
    <w:rPr>
      <w:rFonts w:ascii="宋体" w:hAnsi="宋体"/>
      <w:kern w:val="0"/>
      <w:sz w:val="24"/>
      <w:szCs w:val="24"/>
      <w:lang w:val="zh-CN" w:eastAsia="zh-CN"/>
    </w:rPr>
  </w:style>
  <w:style w:type="character" w:customStyle="1" w:styleId="47">
    <w:name w:val="表格（小四，宋体） Char"/>
    <w:link w:val="46"/>
    <w:uiPriority w:val="0"/>
    <w:rPr>
      <w:rFonts w:ascii="宋体" w:hAnsi="宋体" w:eastAsia="宋体" w:cs="Times New Roman"/>
      <w:kern w:val="0"/>
      <w:sz w:val="24"/>
      <w:szCs w:val="24"/>
      <w:lang w:val="zh-CN" w:eastAsia="zh-CN"/>
    </w:rPr>
  </w:style>
  <w:style w:type="paragraph" w:styleId="48">
    <w:name w:val="No Spacing"/>
    <w:link w:val="49"/>
    <w:qFormat/>
    <w:uiPriority w:val="1"/>
    <w:rPr>
      <w:rFonts w:ascii="Calibri" w:hAnsi="Calibri" w:eastAsia="宋体" w:cs="Times New Roman"/>
      <w:kern w:val="0"/>
      <w:sz w:val="22"/>
      <w:szCs w:val="22"/>
      <w:lang w:val="en-US" w:eastAsia="zh-CN" w:bidi="ar-SA"/>
    </w:rPr>
  </w:style>
  <w:style w:type="character" w:customStyle="1" w:styleId="49">
    <w:name w:val="无间隔 Char"/>
    <w:link w:val="48"/>
    <w:uiPriority w:val="1"/>
    <w:rPr>
      <w:rFonts w:ascii="Calibri" w:hAnsi="Calibri" w:eastAsia="宋体" w:cs="Times New Roman"/>
      <w:kern w:val="0"/>
      <w:sz w:val="22"/>
    </w:rPr>
  </w:style>
  <w:style w:type="paragraph" w:customStyle="1" w:styleId="50">
    <w:name w:val="TOC Heading"/>
    <w:basedOn w:val="2"/>
    <w:next w:val="1"/>
    <w:semiHidden/>
    <w:unhideWhenUsed/>
    <w:qFormat/>
    <w:uiPriority w:val="39"/>
    <w:pPr>
      <w:spacing w:before="480" w:after="0" w:line="276" w:lineRule="auto"/>
      <w:outlineLvl w:val="9"/>
    </w:pPr>
    <w:rPr>
      <w:rFonts w:ascii="Cambria" w:hAnsi="Cambria" w:eastAsia="宋体" w:cs="Times New Roman"/>
      <w:color w:val="365F91"/>
      <w:kern w:val="0"/>
      <w:sz w:val="28"/>
      <w:szCs w:val="28"/>
    </w:rPr>
  </w:style>
  <w:style w:type="paragraph" w:customStyle="1" w:styleId="51">
    <w:name w:val="_Style 49"/>
    <w:next w:val="20"/>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52">
    <w:name w:val="font5"/>
    <w:basedOn w:val="1"/>
    <w:uiPriority w:val="0"/>
    <w:pPr>
      <w:widowControl/>
      <w:spacing w:before="100" w:beforeAutospacing="1" w:after="100" w:afterAutospacing="1"/>
      <w:jc w:val="left"/>
    </w:pPr>
    <w:rPr>
      <w:rFonts w:ascii="Arial" w:hAnsi="Arial" w:cs="Arial"/>
      <w:kern w:val="0"/>
      <w:sz w:val="18"/>
      <w:szCs w:val="18"/>
    </w:rPr>
  </w:style>
  <w:style w:type="paragraph" w:customStyle="1" w:styleId="53">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54">
    <w:name w:val="font7"/>
    <w:basedOn w:val="1"/>
    <w:uiPriority w:val="0"/>
    <w:pPr>
      <w:widowControl/>
      <w:spacing w:before="100" w:beforeAutospacing="1" w:after="100" w:afterAutospacing="1"/>
      <w:jc w:val="left"/>
    </w:pPr>
    <w:rPr>
      <w:rFonts w:ascii="宋体" w:hAnsi="宋体" w:cs="宋体"/>
      <w:kern w:val="0"/>
      <w:sz w:val="22"/>
      <w:szCs w:val="22"/>
    </w:rPr>
  </w:style>
  <w:style w:type="paragraph" w:customStyle="1" w:styleId="55">
    <w:name w:val="font8"/>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56">
    <w:name w:val="font9"/>
    <w:basedOn w:val="1"/>
    <w:uiPriority w:val="0"/>
    <w:pPr>
      <w:widowControl/>
      <w:spacing w:before="100" w:beforeAutospacing="1" w:after="100" w:afterAutospacing="1"/>
      <w:jc w:val="left"/>
    </w:pPr>
    <w:rPr>
      <w:rFonts w:ascii="宋体" w:hAnsi="宋体" w:cs="宋体"/>
      <w:kern w:val="0"/>
      <w:sz w:val="22"/>
      <w:szCs w:val="22"/>
    </w:rPr>
  </w:style>
  <w:style w:type="paragraph" w:customStyle="1" w:styleId="57">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8">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59">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0">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1">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2">
    <w:name w:val="xl7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3">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4">
    <w:name w:val="xl7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5">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6">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7">
    <w:name w:val="xl8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8">
    <w:name w:val="xl8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9">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0">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1">
    <w:name w:val="xl84"/>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72">
    <w:name w:val="xl85"/>
    <w:basedOn w:val="1"/>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pPr>
    <w:rPr>
      <w:rFonts w:ascii="宋体" w:hAnsi="宋体" w:cs="宋体"/>
      <w:kern w:val="0"/>
      <w:sz w:val="24"/>
      <w:szCs w:val="24"/>
    </w:rPr>
  </w:style>
  <w:style w:type="paragraph" w:customStyle="1" w:styleId="73">
    <w:name w:val="xl86"/>
    <w:basedOn w:val="1"/>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szCs w:val="24"/>
    </w:rPr>
  </w:style>
  <w:style w:type="paragraph" w:customStyle="1" w:styleId="74">
    <w:name w:val="xl87"/>
    <w:basedOn w:val="1"/>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szCs w:val="24"/>
    </w:rPr>
  </w:style>
  <w:style w:type="paragraph" w:customStyle="1" w:styleId="75">
    <w:name w:val="xl88"/>
    <w:basedOn w:val="1"/>
    <w:uiPriority w:val="0"/>
    <w:pPr>
      <w:widowControl/>
      <w:shd w:val="clear" w:color="000000" w:fill="CCE8CF"/>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2303</Words>
  <Characters>13128</Characters>
  <Lines>109</Lines>
  <Paragraphs>30</Paragraphs>
  <TotalTime>1</TotalTime>
  <ScaleCrop>false</ScaleCrop>
  <LinksUpToDate>false</LinksUpToDate>
  <CharactersWithSpaces>15401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2022-08-04T08:04:00Z</dcterms:created>
  <dc:creator>郭梦湖</dc:creator>
  <cp:lastModifiedBy>picc</cp:lastModifiedBy>
  <dcterms:modified xsi:type="dcterms:W3CDTF">2022-12-05T07:21:50Z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